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Press Release</w:t>
      </w:r>
      <w:r>
        <w:rPr>
          <w:rFonts w:ascii="Verdana" w:hAnsi="Verdana" w:hint="default"/>
          <w:b w:val="1"/>
          <w:bCs w:val="1"/>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14:textFill>
            <w14:solidFill>
              <w14:srgbClr w14:val="131317"/>
            </w14:solidFill>
          </w14:textFill>
        </w:rPr>
        <w:t>Media Contact:</w:t>
      </w:r>
      <w:r>
        <w:rPr>
          <w:rFonts w:ascii="Verdana" w:hAnsi="Verdana" w:hint="default"/>
          <w:b w:val="1"/>
          <w:bCs w:val="1"/>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14:textFill>
            <w14:solidFill>
              <w14:srgbClr w14:val="131317"/>
            </w14:solidFill>
          </w14:textFill>
        </w:rPr>
        <w:t>IB</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lang w:val="en-US"/>
          <w14:textFill>
            <w14:solidFill>
              <w14:srgbClr w14:val="131317"/>
            </w14:solidFill>
          </w14:textFill>
        </w:rPr>
        <w:t>Communcations</w:t>
      </w:r>
      <w:r>
        <w:rPr>
          <w:rFonts w:ascii="Verdana" w:hAnsi="Verdana" w:hint="default"/>
          <w:b w:val="1"/>
          <w:bCs w:val="1"/>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r>
        <w:rPr>
          <w:rStyle w:val="Hyperlink.0"/>
          <w:rFonts w:ascii="Verdana" w:cs="Verdana" w:hAnsi="Verdana" w:eastAsia="Verdana"/>
          <w:b w:val="1"/>
          <w:bCs w:val="1"/>
          <w:outline w:val="0"/>
          <w:color w:val="131317"/>
          <w:sz w:val="18"/>
          <w:szCs w:val="18"/>
          <w:shd w:val="clear" w:color="auto" w:fill="ffffff"/>
          <w14:textFill>
            <w14:solidFill>
              <w14:srgbClr w14:val="131317"/>
            </w14:solidFill>
          </w14:textFill>
        </w:rPr>
        <w:fldChar w:fldCharType="begin" w:fldLock="0"/>
      </w:r>
      <w:r>
        <w:rPr>
          <w:rStyle w:val="Hyperlink.0"/>
          <w:rFonts w:ascii="Verdana" w:cs="Verdana" w:hAnsi="Verdana" w:eastAsia="Verdana"/>
          <w:b w:val="1"/>
          <w:bCs w:val="1"/>
          <w:outline w:val="0"/>
          <w:color w:val="131317"/>
          <w:sz w:val="18"/>
          <w:szCs w:val="18"/>
          <w:shd w:val="clear" w:color="auto" w:fill="ffffff"/>
          <w14:textFill>
            <w14:solidFill>
              <w14:srgbClr w14:val="131317"/>
            </w14:solidFill>
          </w14:textFill>
        </w:rPr>
        <w:instrText xml:space="preserve"> HYPERLINK "mailto:organabio@ibcomms.agency"</w:instrText>
      </w:r>
      <w:r>
        <w:rPr>
          <w:rStyle w:val="Hyperlink.0"/>
          <w:rFonts w:ascii="Verdana" w:cs="Verdana" w:hAnsi="Verdana" w:eastAsia="Verdana"/>
          <w:b w:val="1"/>
          <w:bCs w:val="1"/>
          <w:outline w:val="0"/>
          <w:color w:val="131317"/>
          <w:sz w:val="18"/>
          <w:szCs w:val="18"/>
          <w:shd w:val="clear" w:color="auto" w:fill="ffffff"/>
          <w14:textFill>
            <w14:solidFill>
              <w14:srgbClr w14:val="131317"/>
            </w14:solidFill>
          </w14:textFill>
        </w:rPr>
        <w:fldChar w:fldCharType="separate" w:fldLock="0"/>
      </w:r>
      <w:r>
        <w:rPr>
          <w:rStyle w:val="Hyperlink.0"/>
          <w:rFonts w:ascii="Verdana" w:hAnsi="Verdana"/>
          <w:b w:val="1"/>
          <w:bCs w:val="1"/>
          <w:outline w:val="0"/>
          <w:color w:val="131317"/>
          <w:sz w:val="18"/>
          <w:szCs w:val="18"/>
          <w:shd w:val="clear" w:color="auto" w:fill="ffffff"/>
          <w:rtl w:val="0"/>
          <w:lang w:val="it-IT"/>
          <w14:textFill>
            <w14:solidFill>
              <w14:srgbClr w14:val="131317"/>
            </w14:solidFill>
          </w14:textFill>
        </w:rPr>
        <w:t>organabio@ibcomms.agency</w:t>
      </w:r>
      <w:r>
        <w:rPr>
          <w:rStyle w:val="Hyperlink.0"/>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cs="Verdana" w:hAnsi="Verdana" w:eastAsia="Verdana"/>
          <w:b w:val="1"/>
          <w:bCs w:val="1"/>
          <w:outline w:val="0"/>
          <w:color w:val="131317"/>
          <w:sz w:val="18"/>
          <w:szCs w:val="18"/>
          <w:shd w:val="clear" w:color="auto" w:fill="ffffff"/>
          <w14:textFill>
            <w14:solidFill>
              <w14:srgbClr w14:val="131317"/>
            </w14:solidFill>
          </w14:textFill>
        </w:rPr>
        <w:fldChar w:fldCharType="end" w:fldLock="0"/>
      </w:r>
    </w:p>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right"/>
        <w:rPr>
          <w:rFonts w:ascii="Verdana" w:cs="Verdana" w:hAnsi="Verdana" w:eastAsia="Verdana"/>
          <w:b w:val="0"/>
          <w:bCs w:val="0"/>
          <w:outline w:val="0"/>
          <w:color w:val="131317"/>
          <w:sz w:val="18"/>
          <w:szCs w:val="18"/>
          <w:shd w:val="clear" w:color="auto" w:fill="ffffff"/>
          <w14:textFill>
            <w14:solidFill>
              <w14:srgbClr w14:val="131317"/>
            </w14:solidFill>
          </w14:textFill>
        </w:rPr>
      </w:pPr>
    </w:p>
    <w:p>
      <w:pPr>
        <w:pStyle w:val="Default"/>
        <w:suppressAutoHyphens w:val="1"/>
        <w:spacing w:before="0" w:line="240" w:lineRule="auto"/>
        <w:jc w:val="left"/>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s-ES_tradnl"/>
          <w14:textFill>
            <w14:solidFill>
              <w14:srgbClr w14:val="131317"/>
            </w14:solidFill>
          </w14:textFill>
        </w:rPr>
        <w:t>OrganaBio</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lang w:val="en-US"/>
          <w14:textFill>
            <w14:solidFill>
              <w14:srgbClr w14:val="131317"/>
            </w14:solidFill>
          </w14:textFill>
        </w:rPr>
        <w:t>Continues Global Access Expansion through</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lang w:val="en-US"/>
          <w14:textFill>
            <w14:solidFill>
              <w14:srgbClr w14:val="131317"/>
            </w14:solidFill>
          </w14:textFill>
        </w:rPr>
        <w:t>Distribution Partnership</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lang w:val="en-US"/>
          <w14:textFill>
            <w14:solidFill>
              <w14:srgbClr w14:val="131317"/>
            </w14:solidFill>
          </w14:textFill>
        </w:rPr>
        <w:t>with Bio-Connect</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Partnership</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lang w:val="en-US"/>
          <w14:textFill>
            <w14:solidFill>
              <w14:srgbClr w14:val="131317"/>
            </w14:solidFill>
          </w14:textFill>
        </w:rPr>
        <w:t>expands reach of</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lang w:val="es-ES_tradnl"/>
          <w14:textFill>
            <w14:solidFill>
              <w14:srgbClr w14:val="131317"/>
            </w14:solidFill>
          </w14:textFill>
        </w:rPr>
        <w:t>OrganaBio</w:t>
      </w:r>
      <w:r>
        <w:rPr>
          <w:rFonts w:ascii="Verdana" w:hAnsi="Verdana" w:hint="default"/>
          <w:b w:val="1"/>
          <w:bCs w:val="1"/>
          <w:outline w:val="0"/>
          <w:color w:val="131317"/>
          <w:sz w:val="18"/>
          <w:szCs w:val="18"/>
          <w:shd w:val="clear" w:color="auto" w:fill="ffffff"/>
          <w:rtl w:val="1"/>
          <w14:textFill>
            <w14:solidFill>
              <w14:srgbClr w14:val="131317"/>
            </w14:solidFill>
          </w14:textFill>
        </w:rPr>
        <w:t>’</w:t>
      </w:r>
      <w:r>
        <w:rPr>
          <w:rFonts w:ascii="Verdana" w:hAnsi="Verdana"/>
          <w:b w:val="1"/>
          <w:bCs w:val="1"/>
          <w:outline w:val="0"/>
          <w:color w:val="131317"/>
          <w:sz w:val="18"/>
          <w:szCs w:val="18"/>
          <w:shd w:val="clear" w:color="auto" w:fill="ffffff"/>
          <w:rtl w:val="0"/>
          <w14:textFill>
            <w14:solidFill>
              <w14:srgbClr w14:val="131317"/>
            </w14:solidFill>
          </w14:textFill>
        </w:rPr>
        <w:t>s</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lang w:val="en-US"/>
          <w14:textFill>
            <w14:solidFill>
              <w14:srgbClr w14:val="131317"/>
            </w14:solidFill>
          </w14:textFill>
        </w:rPr>
        <w:t>ethically sourced perinatal and peripheral blood-derived materials</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lang w:val="en-US"/>
          <w14:textFill>
            <w14:solidFill>
              <w14:srgbClr w14:val="131317"/>
            </w14:solidFill>
          </w14:textFill>
        </w:rPr>
        <w:t>for drug development</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Researchers gain local support for sourcing, cell processing, and delivery services</w:t>
      </w:r>
      <w:r>
        <w:rPr>
          <w:rFonts w:ascii="Verdana" w:hAnsi="Verdana" w:hint="default"/>
          <w:b w:val="1"/>
          <w:bCs w:val="1"/>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14:textFill>
            <w14:solidFill>
              <w14:srgbClr w14:val="131317"/>
            </w14:solidFill>
          </w14:textFill>
        </w:rPr>
        <w:t>Miami, FL,</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lang w:val="en-US"/>
          <w14:textFill>
            <w14:solidFill>
              <w14:srgbClr w14:val="131317"/>
            </w14:solidFill>
          </w14:textFill>
        </w:rPr>
        <w:t>June</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lang w:val="nl-NL"/>
          <w14:textFill>
            <w14:solidFill>
              <w14:srgbClr w14:val="131317"/>
            </w14:solidFill>
          </w14:textFill>
        </w:rPr>
        <w:t>17,</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14:textFill>
            <w14:solidFill>
              <w14:srgbClr w14:val="131317"/>
            </w14:solidFill>
          </w14:textFill>
        </w:rPr>
        <w:t xml:space="preserve">2026 </w:t>
      </w:r>
      <w:r>
        <w:rPr>
          <w:rFonts w:ascii="Verdana" w:hAnsi="Verdana" w:hint="default"/>
          <w:b w:val="1"/>
          <w:bCs w:val="1"/>
          <w:outline w:val="0"/>
          <w:color w:val="131317"/>
          <w:sz w:val="18"/>
          <w:szCs w:val="18"/>
          <w:shd w:val="clear" w:color="auto" w:fill="ffffff"/>
          <w:rtl w:val="0"/>
          <w:lang w:val="ru-RU"/>
          <w14:textFill>
            <w14:solidFill>
              <w14:srgbClr w14:val="131317"/>
            </w14:solidFill>
          </w14:textFill>
        </w:rPr>
        <w:t>— </w:t>
      </w:r>
      <w:r>
        <w:rPr>
          <w:rStyle w:val="Hyperlink.1"/>
          <w:rFonts w:ascii="Verdana" w:cs="Verdana" w:hAnsi="Verdana" w:eastAsia="Verdana"/>
          <w:outline w:val="0"/>
          <w:color w:val="131317"/>
          <w:sz w:val="18"/>
          <w:szCs w:val="18"/>
          <w:shd w:val="clear" w:color="auto" w:fill="ffffff"/>
          <w14:textFill>
            <w14:solidFill>
              <w14:srgbClr w14:val="131317"/>
            </w14:solidFill>
          </w14:textFill>
        </w:rPr>
        <w:fldChar w:fldCharType="begin" w:fldLock="0"/>
      </w:r>
      <w:r>
        <w:rPr>
          <w:rStyle w:val="Hyperlink.1"/>
          <w:rFonts w:ascii="Verdana" w:cs="Verdana" w:hAnsi="Verdana" w:eastAsia="Verdana"/>
          <w:outline w:val="0"/>
          <w:color w:val="131317"/>
          <w:sz w:val="18"/>
          <w:szCs w:val="18"/>
          <w:shd w:val="clear" w:color="auto" w:fill="ffffff"/>
          <w14:textFill>
            <w14:solidFill>
              <w14:srgbClr w14:val="131317"/>
            </w14:solidFill>
          </w14:textFill>
        </w:rPr>
        <w:instrText xml:space="preserve"> HYPERLINK "https://www.organabio.com/"</w:instrText>
      </w:r>
      <w:r>
        <w:rPr>
          <w:rStyle w:val="Hyperlink.1"/>
          <w:rFonts w:ascii="Verdana" w:cs="Verdana" w:hAnsi="Verdana" w:eastAsia="Verdana"/>
          <w:outline w:val="0"/>
          <w:color w:val="131317"/>
          <w:sz w:val="18"/>
          <w:szCs w:val="18"/>
          <w:shd w:val="clear" w:color="auto" w:fill="ffffff"/>
          <w14:textFill>
            <w14:solidFill>
              <w14:srgbClr w14:val="131317"/>
            </w14:solidFill>
          </w14:textFill>
        </w:rPr>
        <w:fldChar w:fldCharType="separate" w:fldLock="0"/>
      </w:r>
      <w:r>
        <w:rPr>
          <w:rStyle w:val="Hyperlink.1"/>
          <w:rFonts w:ascii="Verdana" w:hAnsi="Verdana"/>
          <w:outline w:val="0"/>
          <w:color w:val="131317"/>
          <w:sz w:val="18"/>
          <w:szCs w:val="18"/>
          <w:shd w:val="clear" w:color="auto" w:fill="ffffff"/>
          <w:rtl w:val="0"/>
          <w:lang w:val="es-ES_tradnl"/>
          <w14:textFill>
            <w14:solidFill>
              <w14:srgbClr w14:val="131317"/>
            </w14:solidFill>
          </w14:textFill>
        </w:rPr>
        <w:t>OrganaBio, LLC ("OrganaBio")</w:t>
      </w:r>
      <w:r>
        <w:rPr>
          <w:rFonts w:ascii="Verdana" w:cs="Verdana" w:hAnsi="Verdana" w:eastAsia="Verdana"/>
          <w:outline w:val="0"/>
          <w:color w:val="131317"/>
          <w:sz w:val="18"/>
          <w:szCs w:val="18"/>
          <w:shd w:val="clear" w:color="auto" w:fill="ffffff"/>
          <w14:textFill>
            <w14:solidFill>
              <w14:srgbClr w14:val="131317"/>
            </w14:solidFill>
          </w14:textFill>
        </w:rPr>
        <w:fldChar w:fldCharType="end" w:fldLock="0"/>
      </w:r>
      <w:r>
        <w:rPr>
          <w:rFonts w:ascii="Verdana" w:hAnsi="Verdana"/>
          <w:outline w:val="0"/>
          <w:color w:val="131317"/>
          <w:sz w:val="18"/>
          <w:szCs w:val="18"/>
          <w:shd w:val="clear" w:color="auto" w:fill="ffffff"/>
          <w:rtl w:val="0"/>
          <w:lang w:val="en-US"/>
          <w14:textFill>
            <w14:solidFill>
              <w14:srgbClr w14:val="131317"/>
            </w14:solidFill>
          </w14:textFill>
        </w:rPr>
        <w:t>, a manufacturer of</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Research-</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and cGMP-grade</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cells and blood-derived</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products and provider of cell isolation and cryopreservation services,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has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established a non-exclusive distribution partnership</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with Bio-Connect</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to extend access to ethically sourced perinatal and peripheral blood-derived cellular materials for researchers across the Benelux region.</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Through the partnership, researchers and developers in Belgium, the Netherlands, and Luxembourg will have streamlined access to cord blood, placental and umbilical cord tissue, apheresis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leukopaks, and primary cell products including HSCs, PBMCs, and other immune cell subsets.</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The collaboration combines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s-ES_tradnl"/>
          <w14:textFill>
            <w14:solidFill>
              <w14:srgbClr w14:val="131317"/>
            </w14:solidFill>
          </w14:textFill>
        </w:rPr>
        <w:t>OrganaBio</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14:textFill>
            <w14:solidFill>
              <w14:srgbClr w14:val="131317"/>
            </w14:solidFill>
          </w14:textFill>
        </w:rPr>
        <w:t>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donor network,</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logistics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capabilities, and cell processing</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expertise</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with Bio-Connect</w:t>
      </w:r>
      <w:r>
        <w:rPr>
          <w:rFonts w:ascii="Verdana" w:hAnsi="Verdana" w:hint="default"/>
          <w:outline w:val="0"/>
          <w:color w:val="131317"/>
          <w:sz w:val="18"/>
          <w:szCs w:val="18"/>
          <w:shd w:val="clear" w:color="auto" w:fill="ffffff"/>
          <w:rtl w:val="1"/>
          <w14:textFill>
            <w14:solidFill>
              <w14:srgbClr w14:val="131317"/>
            </w14:solidFill>
          </w14:textFill>
        </w:rPr>
        <w:t>’</w:t>
      </w:r>
      <w:r>
        <w:rPr>
          <w:rFonts w:ascii="Verdana" w:hAnsi="Verdana"/>
          <w:outline w:val="0"/>
          <w:color w:val="131317"/>
          <w:sz w:val="18"/>
          <w:szCs w:val="18"/>
          <w:shd w:val="clear" w:color="auto" w:fill="ffffff"/>
          <w:rtl w:val="0"/>
          <w14:textFill>
            <w14:solidFill>
              <w14:srgbClr w14:val="131317"/>
            </w14:solidFill>
          </w14:textFill>
        </w:rPr>
        <w:t>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regional presence and customer support. Services available through the partnership include custom cell isolation, expansion, cryopreservation, and characterization to support research and development programs.</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1"/>
          <w:lang w:val="ar-SA" w:bidi="ar-SA"/>
          <w14:textFill>
            <w14:solidFill>
              <w14:srgbClr w14:val="131317"/>
            </w14:solidFill>
          </w14:textFill>
        </w:rPr>
        <w:t>“</w:t>
      </w:r>
      <w:r>
        <w:rPr>
          <w:rFonts w:ascii="Verdana" w:hAnsi="Verdana"/>
          <w:outline w:val="0"/>
          <w:color w:val="131317"/>
          <w:sz w:val="18"/>
          <w:szCs w:val="18"/>
          <w:shd w:val="clear" w:color="auto" w:fill="ffffff"/>
          <w:rtl w:val="0"/>
          <w:lang w:val="en-US"/>
          <w14:textFill>
            <w14:solidFill>
              <w14:srgbClr w14:val="131317"/>
            </w14:solidFill>
          </w14:textFill>
        </w:rPr>
        <w:t xml:space="preserve">Bio-Connect is a key regional partner for us in Europe as we continue to expand </w:t>
      </w:r>
      <w:r>
        <w:drawing xmlns:a="http://schemas.openxmlformats.org/drawingml/2006/main">
          <wp:anchor distT="152400" distB="152400" distL="152400" distR="152400" simplePos="0" relativeHeight="251659264" behindDoc="0" locked="0" layoutInCell="1" allowOverlap="1">
            <wp:simplePos x="0" y="0"/>
            <wp:positionH relativeFrom="page">
              <wp:posOffset>720000</wp:posOffset>
            </wp:positionH>
            <wp:positionV relativeFrom="page">
              <wp:posOffset>435520</wp:posOffset>
            </wp:positionV>
            <wp:extent cx="1800001" cy="1080000"/>
            <wp:effectExtent l="0" t="0" r="0" b="0"/>
            <wp:wrapNone/>
            <wp:docPr id="1073741825" name="officeArt object" descr="IB COMMUNICATIUONS logo LR.jpg"/>
            <wp:cNvGraphicFramePr/>
            <a:graphic xmlns:a="http://schemas.openxmlformats.org/drawingml/2006/main">
              <a:graphicData uri="http://schemas.openxmlformats.org/drawingml/2006/picture">
                <pic:pic xmlns:pic="http://schemas.openxmlformats.org/drawingml/2006/picture">
                  <pic:nvPicPr>
                    <pic:cNvPr id="1073741825" name="IB COMMUNICATIUONS logo LR.jpg" descr="IB COMMUNICATIUONS logo LR.jpg"/>
                    <pic:cNvPicPr>
                      <a:picLocks noChangeAspect="1"/>
                    </pic:cNvPicPr>
                  </pic:nvPicPr>
                  <pic:blipFill>
                    <a:blip r:embed="rId4">
                      <a:extLst/>
                    </a:blip>
                    <a:stretch>
                      <a:fillRect/>
                    </a:stretch>
                  </pic:blipFill>
                  <pic:spPr>
                    <a:xfrm>
                      <a:off x="0" y="0"/>
                      <a:ext cx="1800001" cy="1080000"/>
                    </a:xfrm>
                    <a:prstGeom prst="rect">
                      <a:avLst/>
                    </a:prstGeom>
                    <a:ln w="12700" cap="flat">
                      <a:noFill/>
                      <a:miter lim="400000"/>
                    </a:ln>
                    <a:effectLst/>
                  </pic:spPr>
                </pic:pic>
              </a:graphicData>
            </a:graphic>
          </wp:anchor>
        </w:drawing>
      </w:r>
      <w:r>
        <w:rPr>
          <w:rFonts w:ascii="Verdana" w:hAnsi="Verdana"/>
          <w:outline w:val="0"/>
          <w:color w:val="131317"/>
          <w:sz w:val="18"/>
          <w:szCs w:val="18"/>
          <w:shd w:val="clear" w:color="auto" w:fill="ffffff"/>
          <w:rtl w:val="0"/>
          <w:lang w:val="en-US"/>
          <w14:textFill>
            <w14:solidFill>
              <w14:srgbClr w14:val="131317"/>
            </w14:solidFill>
          </w14:textFill>
        </w:rPr>
        <w:t>our global reach to new regions, helping make our ethically sourced cellular materials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for research</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more accessible in more places,</w:t>
      </w:r>
      <w:r>
        <w:rPr>
          <w:rFonts w:ascii="Verdana" w:hAnsi="Verdana" w:hint="default"/>
          <w:outline w:val="0"/>
          <w:color w:val="131317"/>
          <w:sz w:val="18"/>
          <w:szCs w:val="18"/>
          <w:shd w:val="clear" w:color="auto" w:fill="ffffff"/>
          <w:rtl w:val="0"/>
          <w14:textFill>
            <w14:solidFill>
              <w14:srgbClr w14:val="131317"/>
            </w14:solidFill>
          </w14:textFill>
        </w:rPr>
        <w:t xml:space="preserve">” </w:t>
      </w:r>
      <w:r>
        <w:rPr>
          <w:rFonts w:ascii="Verdana" w:hAnsi="Verdana"/>
          <w:outline w:val="0"/>
          <w:color w:val="131317"/>
          <w:sz w:val="18"/>
          <w:szCs w:val="18"/>
          <w:shd w:val="clear" w:color="auto" w:fill="ffffff"/>
          <w:rtl w:val="0"/>
          <w:lang w:val="en-US"/>
          <w14:textFill>
            <w14:solidFill>
              <w14:srgbClr w14:val="131317"/>
            </w14:solidFill>
          </w14:textFill>
        </w:rPr>
        <w:t>said Carlos Carballosa, co-founder and Vice President</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of Sales,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it-IT"/>
          <w14:textFill>
            <w14:solidFill>
              <w14:srgbClr w14:val="131317"/>
            </w14:solidFill>
          </w14:textFill>
        </w:rPr>
        <w:t>OrganaBio.</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outline w:val="0"/>
          <w:color w:val="131317"/>
          <w:sz w:val="18"/>
          <w:szCs w:val="18"/>
          <w:shd w:val="clear" w:color="auto" w:fill="ffffff"/>
          <w:rtl w:val="0"/>
          <w:lang w:val="en-US"/>
          <w14:textFill>
            <w14:solidFill>
              <w14:srgbClr w14:val="131317"/>
            </w14:solidFill>
          </w14:textFill>
        </w:rPr>
        <w:t>The</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agreement</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is designed to help life sciences organizations obtain high-quality cellular materials with reliable delivery and technical support, enabling continuity across a range of research and translational applications.</w:t>
      </w:r>
    </w:p>
    <w:p>
      <w:pPr>
        <w:pStyle w:val="Default"/>
        <w:suppressAutoHyphens w:val="1"/>
        <w:spacing w:before="0" w:line="240" w:lineRule="auto"/>
        <w:jc w:val="both"/>
        <w:rPr>
          <w:rFonts w:ascii="Verdana" w:cs="Verdana" w:hAnsi="Verdana" w:eastAsia="Verdana"/>
          <w:outline w:val="0"/>
          <w:color w:val="131317"/>
          <w:sz w:val="18"/>
          <w:szCs w:val="18"/>
          <w:shd w:val="clear" w:color="auto" w:fill="ffffff"/>
          <w14:textFill>
            <w14:solidFill>
              <w14:srgbClr w14:val="131317"/>
            </w14:solidFill>
          </w14:textFill>
        </w:rPr>
      </w:pPr>
      <w:r>
        <w:rPr>
          <w:rFonts w:ascii="Verdana" w:hAnsi="Verdana" w:hint="default"/>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rPr>
          <w:rStyle w:val="None"/>
          <w:rFonts w:ascii="Verdana" w:cs="Verdana" w:hAnsi="Verdana" w:eastAsia="Verdana"/>
          <w:b w:val="0"/>
          <w:bCs w:val="0"/>
          <w:outline w:val="0"/>
          <w:color w:val="131317"/>
          <w:sz w:val="18"/>
          <w:szCs w:val="18"/>
          <w:shd w:val="clear" w:color="auto" w:fill="ffffff"/>
          <w14:textFill>
            <w14:solidFill>
              <w14:srgbClr w14:val="131317"/>
            </w14:solidFill>
          </w14:textFill>
        </w:rPr>
      </w:pPr>
      <w:r>
        <w:rPr>
          <w:rFonts w:ascii="Verdana" w:hAnsi="Verdana"/>
          <w:b w:val="1"/>
          <w:bCs w:val="1"/>
          <w:outline w:val="0"/>
          <w:color w:val="131317"/>
          <w:sz w:val="18"/>
          <w:szCs w:val="18"/>
          <w:shd w:val="clear" w:color="auto" w:fill="ffffff"/>
          <w:rtl w:val="0"/>
          <w:lang w:val="en-US"/>
          <w14:textFill>
            <w14:solidFill>
              <w14:srgbClr w14:val="131317"/>
            </w14:solidFill>
          </w14:textFill>
        </w:rPr>
        <w:t>About</w:t>
      </w:r>
      <w:r>
        <w:rPr>
          <w:rFonts w:ascii="Verdana" w:hAnsi="Verdana" w:hint="default"/>
          <w:b w:val="1"/>
          <w:bCs w:val="1"/>
          <w:outline w:val="0"/>
          <w:color w:val="131317"/>
          <w:sz w:val="18"/>
          <w:szCs w:val="18"/>
          <w:shd w:val="clear" w:color="auto" w:fill="ffffff"/>
          <w:rtl w:val="0"/>
          <w14:textFill>
            <w14:solidFill>
              <w14:srgbClr w14:val="131317"/>
            </w14:solidFill>
          </w14:textFill>
        </w:rPr>
        <w:t> </w:t>
      </w:r>
      <w:r>
        <w:rPr>
          <w:rFonts w:ascii="Verdana" w:hAnsi="Verdana"/>
          <w:b w:val="1"/>
          <w:bCs w:val="1"/>
          <w:outline w:val="0"/>
          <w:color w:val="131317"/>
          <w:sz w:val="18"/>
          <w:szCs w:val="18"/>
          <w:shd w:val="clear" w:color="auto" w:fill="ffffff"/>
          <w:rtl w:val="0"/>
          <w:lang w:val="es-ES_tradnl"/>
          <w14:textFill>
            <w14:solidFill>
              <w14:srgbClr w14:val="131317"/>
            </w14:solidFill>
          </w14:textFill>
        </w:rPr>
        <w:t>OrganaBio</w:t>
      </w:r>
      <w:r>
        <w:rPr>
          <w:rFonts w:ascii="Verdana" w:hAnsi="Verdana" w:hint="default"/>
          <w:b w:val="1"/>
          <w:bCs w:val="1"/>
          <w:outline w:val="0"/>
          <w:color w:val="131317"/>
          <w:sz w:val="18"/>
          <w:szCs w:val="18"/>
          <w:shd w:val="clear" w:color="auto" w:fill="ffffff"/>
          <w:rtl w:val="0"/>
          <w14:textFill>
            <w14:solidFill>
              <w14:srgbClr w14:val="131317"/>
            </w14:solidFill>
          </w14:textFill>
        </w:rPr>
        <w:t> </w:t>
      </w:r>
    </w:p>
    <w:p>
      <w:pPr>
        <w:pStyle w:val="Default"/>
        <w:suppressAutoHyphens w:val="1"/>
        <w:spacing w:before="0" w:line="240" w:lineRule="auto"/>
        <w:jc w:val="both"/>
      </w:pPr>
      <w:r>
        <w:rPr>
          <w:rFonts w:ascii="Verdana" w:hAnsi="Verdana"/>
          <w:outline w:val="0"/>
          <w:color w:val="131317"/>
          <w:sz w:val="18"/>
          <w:szCs w:val="18"/>
          <w:shd w:val="clear" w:color="auto" w:fill="ffffff"/>
          <w:rtl w:val="0"/>
          <w:lang w:val="en-US"/>
          <w14:textFill>
            <w14:solidFill>
              <w14:srgbClr w14:val="131317"/>
            </w14:solidFill>
          </w14:textFill>
        </w:rPr>
        <w:t xml:space="preserve">OrganaBio, LLC is a vertically integrated cell therapy contract development and manufacturing organization (CTDMO) headquartered in Miami, Florida, with cGMP manufacturing and cell processing facilities in Miami and San Diego and regional cell processing labs in San Francisco and Irvine. Through its wholly owned, FDA-registered subsidiaries </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14:textFill>
            <w14:solidFill>
              <w14:srgbClr w14:val="131317"/>
            </w14:solidFill>
          </w14:textFill>
        </w:rPr>
        <w:t>HemaCenter, LLC (adult leukapheresis) and</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 xml:space="preserve">GaiaGift, LLC (birth tissue and cord blood) </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s-ES_tradnl"/>
          <w14:textFill>
            <w14:solidFill>
              <w14:srgbClr w14:val="131317"/>
            </w14:solidFill>
          </w14:textFill>
        </w:rPr>
        <w:t>OrganaBio</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operates proprietary supply chains for ethically sourced human tissues and blood-derived cellular products. The combined platform delivers</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fr-FR"/>
          <w14:textFill>
            <w14:solidFill>
              <w14:srgbClr w14:val="131317"/>
            </w14:solidFill>
          </w14:textFill>
        </w:rPr>
        <w:t>GMP</w:t>
      </w:r>
      <w:r>
        <w:rPr>
          <w:rFonts w:ascii="Verdana" w:hAnsi="Verdana" w:hint="default"/>
          <w:outline w:val="0"/>
          <w:color w:val="131317"/>
          <w:sz w:val="18"/>
          <w:szCs w:val="18"/>
          <w:shd w:val="clear" w:color="auto" w:fill="ffffff"/>
          <w:rtl w:val="0"/>
          <w14:textFill>
            <w14:solidFill>
              <w14:srgbClr w14:val="131317"/>
            </w14:solidFill>
          </w14:textFill>
        </w:rPr>
        <w:t> </w:t>
      </w:r>
      <w:r>
        <w:rPr>
          <w:rFonts w:ascii="Verdana" w:hAnsi="Verdana"/>
          <w:outline w:val="0"/>
          <w:color w:val="131317"/>
          <w:sz w:val="18"/>
          <w:szCs w:val="18"/>
          <w:shd w:val="clear" w:color="auto" w:fill="ffffff"/>
          <w:rtl w:val="0"/>
          <w:lang w:val="en-US"/>
          <w14:textFill>
            <w14:solidFill>
              <w14:srgbClr w14:val="131317"/>
            </w14:solidFill>
          </w14:textFill>
        </w:rPr>
        <w:t xml:space="preserve">isolated cells, clinical-sample processing including PBMC isolation, cell isolation and cryopreservation services, cGMP manufacturing for autologous and allogeneic cell therapies, process development, analytical testing, quality assurance, and regulatory support under a single quality framework, enabling cell therapy developers to accelerate the path from development to patient. For more information, visit </w:t>
      </w:r>
      <w:r>
        <w:rPr>
          <w:rFonts w:ascii="Verdana" w:cs="Verdana" w:hAnsi="Verdana" w:eastAsia="Verdana"/>
          <w:outline w:val="0"/>
          <w:color w:val="131317"/>
          <w:sz w:val="18"/>
          <w:szCs w:val="18"/>
          <w:shd w:val="clear" w:color="auto" w:fill="ffffff"/>
          <w14:textFill>
            <w14:solidFill>
              <w14:srgbClr w14:val="131317"/>
            </w14:solidFill>
          </w14:textFill>
        </w:rPr>
        <w:fldChar w:fldCharType="begin" w:fldLock="0"/>
      </w:r>
      <w:r>
        <w:rPr>
          <w:rFonts w:ascii="Verdana" w:cs="Verdana" w:hAnsi="Verdana" w:eastAsia="Verdana"/>
          <w:outline w:val="0"/>
          <w:color w:val="131317"/>
          <w:sz w:val="18"/>
          <w:szCs w:val="18"/>
          <w:shd w:val="clear" w:color="auto" w:fill="ffffff"/>
          <w14:textFill>
            <w14:solidFill>
              <w14:srgbClr w14:val="131317"/>
            </w14:solidFill>
          </w14:textFill>
        </w:rPr>
        <w:instrText xml:space="preserve"> HYPERLINK "https://www.organabio.com/"</w:instrText>
      </w:r>
      <w:r>
        <w:rPr>
          <w:rFonts w:ascii="Verdana" w:cs="Verdana" w:hAnsi="Verdana" w:eastAsia="Verdana"/>
          <w:outline w:val="0"/>
          <w:color w:val="131317"/>
          <w:sz w:val="18"/>
          <w:szCs w:val="18"/>
          <w:shd w:val="clear" w:color="auto" w:fill="ffffff"/>
          <w14:textFill>
            <w14:solidFill>
              <w14:srgbClr w14:val="131317"/>
            </w14:solidFill>
          </w14:textFill>
        </w:rPr>
        <w:fldChar w:fldCharType="separate" w:fldLock="0"/>
      </w:r>
      <w:r>
        <w:rPr>
          <w:rFonts w:ascii="Verdana" w:hAnsi="Verdana"/>
          <w:outline w:val="0"/>
          <w:color w:val="131317"/>
          <w:sz w:val="18"/>
          <w:szCs w:val="18"/>
          <w:shd w:val="clear" w:color="auto" w:fill="ffffff"/>
          <w:rtl w:val="0"/>
          <w:lang w:val="it-IT"/>
          <w14:textFill>
            <w14:solidFill>
              <w14:srgbClr w14:val="131317"/>
            </w14:solidFill>
          </w14:textFill>
        </w:rPr>
        <w:t>www.organabio.com</w:t>
      </w:r>
      <w:r>
        <w:rPr>
          <w:rFonts w:ascii="Verdana" w:cs="Verdana" w:hAnsi="Verdana" w:eastAsia="Verdana"/>
          <w:outline w:val="0"/>
          <w:color w:val="131317"/>
          <w:sz w:val="18"/>
          <w:szCs w:val="18"/>
          <w:shd w:val="clear" w:color="auto" w:fill="ffffff"/>
          <w14:textFill>
            <w14:solidFill>
              <w14:srgbClr w14:val="131317"/>
            </w14:solidFill>
          </w14:textFill>
        </w:rPr>
        <w:fldChar w:fldCharType="end" w:fldLock="0"/>
      </w:r>
      <w:r>
        <w:rPr>
          <w:rFonts w:ascii="Verdana" w:hAnsi="Verdana"/>
          <w:outline w:val="0"/>
          <w:color w:val="131317"/>
          <w:sz w:val="18"/>
          <w:szCs w:val="18"/>
          <w:shd w:val="clear" w:color="auto" w:fill="ffffff"/>
          <w:rtl w:val="0"/>
          <w14:textFill>
            <w14:solidFill>
              <w14:srgbClr w14:val="131317"/>
            </w14:solidFill>
          </w14:textFill>
        </w:rPr>
        <w:t>.</w:t>
      </w:r>
      <w:r>
        <w:rPr>
          <w:rFonts w:ascii="Verdana" w:hAnsi="Verdana" w:hint="default"/>
          <w:outline w:val="0"/>
          <w:color w:val="131317"/>
          <w:sz w:val="18"/>
          <w:szCs w:val="18"/>
          <w:shd w:val="clear" w:color="auto" w:fill="ffffff"/>
          <w:rtl w:val="0"/>
          <w14:textFill>
            <w14:solidFill>
              <w14:srgbClr w14:val="131317"/>
            </w14:solidFill>
          </w14:textFill>
        </w:rPr>
        <w:t> </w:t>
      </w:r>
    </w:p>
    <w:sectPr>
      <w:headerReference w:type="default" r:id="rId5"/>
      <w:footerReference w:type="default" r:id="rId6"/>
      <w:pgSz w:w="11906" w:h="16838" w:orient="portrait"/>
      <w:pgMar w:top="1134" w:right="1134" w:bottom="850"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Link">
    <w:name w:val="Link"/>
    <w:rPr>
      <w:u w:val="single"/>
    </w:rPr>
  </w:style>
  <w:style w:type="character" w:styleId="Hyperlink.0">
    <w:name w:val="Hyperlink.0"/>
    <w:basedOn w:val="Link"/>
    <w:next w:val="Hyperlink.0"/>
    <w:rPr>
      <w:u w:val="none"/>
    </w:rPr>
  </w:style>
  <w:style w:type="character" w:styleId="None">
    <w:name w:val="None"/>
  </w:style>
  <w:style w:type="character" w:styleId="Hyperlink.1">
    <w:name w:val="Hyperlink.1"/>
    <w:basedOn w:val="None"/>
    <w:next w:val="Hyperlink.1"/>
    <w:rPr>
      <w:b w:val="1"/>
      <w:bCs w:val="1"/>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just" defTabSz="457200" rtl="0" fontAlgn="auto" latinLnBrk="0" hangingPunct="0">
          <a:lnSpc>
            <a:spcPct val="100000"/>
          </a:lnSpc>
          <a:spcBef>
            <a:spcPts val="0"/>
          </a:spcBef>
          <a:spcAft>
            <a:spcPts val="0"/>
          </a:spcAft>
          <a:buClrTx/>
          <a:buSzTx/>
          <a:buFontTx/>
          <a:buNone/>
          <a:tabLst/>
          <a:defRPr b="0" baseline="0" cap="none" i="0" spc="0" strike="noStrike" sz="900" u="none" kumimoji="0" normalizeH="0">
            <a:ln>
              <a:noFill/>
            </a:ln>
            <a:solidFill>
              <a:srgbClr val="000000"/>
            </a:solidFill>
            <a:effectLst/>
            <a:uFill>
              <a:solidFill>
                <a:srgbClr val="000000"/>
              </a:solidFill>
            </a:uFill>
            <a:latin typeface="Verdana"/>
            <a:ea typeface="Verdana"/>
            <a:cs typeface="Verdana"/>
            <a:sym typeface="Verdan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