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able Style 2"/>
        <w:suppressAutoHyphens w:val="1"/>
        <w:jc w:val="right"/>
        <w:rPr>
          <w:rFonts w:ascii="Verdana" w:hAnsi="Verdana"/>
          <w:b w:val="1"/>
          <w:bCs w:val="1"/>
          <w:sz w:val="18"/>
          <w:szCs w:val="18"/>
        </w:rPr>
      </w:pP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Press Release</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Media Contacts:</w:t>
      </w:r>
    </w:p>
    <w:p>
      <w:pPr>
        <w:pStyle w:val="Table Style 2"/>
        <w:suppressAutoHyphens w:val="1"/>
        <w:jc w:val="right"/>
        <w:rPr>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IB Communications</w:t>
      </w:r>
    </w:p>
    <w:p>
      <w:pPr>
        <w:pStyle w:val="Table Style 2"/>
        <w:suppressAutoHyphens w:val="1"/>
        <w:jc w:val="right"/>
        <w:rPr>
          <w:rStyle w:val="Hyperlink.0"/>
          <w:rFonts w:ascii="Verdana" w:cs="Verdana" w:hAnsi="Verdana" w:eastAsia="Verdana"/>
          <w:sz w:val="18"/>
          <w:szCs w:val="18"/>
          <w:u w:color="0000ff"/>
        </w:rPr>
      </w:pPr>
      <w:r>
        <w:rPr>
          <w:rStyle w:val="Hyperlink.0"/>
          <w:rFonts w:ascii="Verdana" w:cs="Verdana" w:hAnsi="Verdana" w:eastAsia="Verdana"/>
          <w:sz w:val="18"/>
          <w:szCs w:val="18"/>
          <w:u w:color="0000ff"/>
        </w:rPr>
        <w:fldChar w:fldCharType="begin" w:fldLock="0"/>
      </w:r>
      <w:r>
        <w:rPr>
          <w:rStyle w:val="Hyperlink.0"/>
          <w:rFonts w:ascii="Verdana" w:cs="Verdana" w:hAnsi="Verdana" w:eastAsia="Verdana"/>
          <w:sz w:val="18"/>
          <w:szCs w:val="18"/>
          <w:u w:color="0000ff"/>
        </w:rPr>
        <w:instrText xml:space="preserve"> HYPERLINK "mailto:terumo@ibcomms.agency"</w:instrText>
      </w:r>
      <w:r>
        <w:rPr>
          <w:rStyle w:val="Hyperlink.0"/>
          <w:rFonts w:ascii="Verdana" w:cs="Verdana" w:hAnsi="Verdana" w:eastAsia="Verdana"/>
          <w:sz w:val="18"/>
          <w:szCs w:val="18"/>
          <w:u w:color="0000ff"/>
        </w:rPr>
        <w:fldChar w:fldCharType="separate" w:fldLock="0"/>
      </w:r>
      <w:r>
        <w:rPr>
          <w:rStyle w:val="Hyperlink.0"/>
          <w:rFonts w:ascii="Verdana" w:hAnsi="Verdana"/>
          <w:sz w:val="18"/>
          <w:szCs w:val="18"/>
          <w:u w:color="0000ff"/>
          <w:rtl w:val="0"/>
          <w:lang w:val="en-US"/>
        </w:rPr>
        <w:t>terumo@ibcomms.agency</w:t>
      </w:r>
      <w:r>
        <w:rPr>
          <w:rFonts w:ascii="Verdana" w:cs="Verdana" w:hAnsi="Verdana" w:eastAsia="Verdana"/>
          <w:sz w:val="18"/>
          <w:szCs w:val="18"/>
          <w:u w:color="0000ff"/>
        </w:rPr>
        <w:fldChar w:fldCharType="end" w:fldLock="0"/>
      </w:r>
    </w:p>
    <w:p>
      <w:pPr>
        <w:pStyle w:val="Table Style 2"/>
        <w:suppressAutoHyphens w:val="1"/>
        <w:jc w:val="both"/>
        <w:rPr>
          <w:rStyle w:val="Hyperlink.0"/>
          <w:rFonts w:ascii="Verdana" w:cs="Verdana" w:hAnsi="Verdana" w:eastAsia="Verdana"/>
          <w:sz w:val="18"/>
          <w:szCs w:val="18"/>
        </w:rPr>
      </w:pPr>
      <w:r>
        <w:rPr>
          <w:rStyle w:val="Hyperlink.0"/>
          <w:rFonts w:ascii="Verdana" w:hAnsi="Verdana" w:hint="default"/>
          <w:sz w:val="18"/>
          <w:szCs w:val="18"/>
          <w:rtl w:val="0"/>
        </w:rPr>
        <w:t> </w:t>
      </w: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Hyperlink.0"/>
          <w:rFonts w:ascii="Verdana" w:cs="Verdana" w:hAnsi="Verdana" w:eastAsia="Verdana"/>
          <w:sz w:val="18"/>
          <w:szCs w:val="18"/>
        </w:rPr>
      </w:pPr>
    </w:p>
    <w:p>
      <w:pPr>
        <w:pStyle w:val="Table Style 2"/>
        <w:suppressAutoHyphens w:val="1"/>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Terumo Blood and Cell Technologies Supports Expanded Access to Rare Disease Therapies in Latin America </w:t>
      </w:r>
      <w:r>
        <w:rPr>
          <w:rStyle w:val="Hyperlink.0"/>
          <w:rFonts w:ascii="Verdana" w:hAnsi="Verdana" w:hint="default"/>
          <w:b w:val="1"/>
          <w:bCs w:val="1"/>
          <w:sz w:val="18"/>
          <w:szCs w:val="18"/>
          <w:rtl w:val="0"/>
        </w:rPr>
        <w:t> </w:t>
      </w:r>
    </w:p>
    <w:p>
      <w:pPr>
        <w:pStyle w:val="Table Style 2"/>
        <w:numPr>
          <w:ilvl w:val="0"/>
          <w:numId w:val="2"/>
        </w:numPr>
        <w:suppressAutoHyphens w:val="1"/>
        <w:jc w:val="left"/>
        <w:rPr>
          <w:rFonts w:ascii="Verdana" w:hAnsi="Verdana"/>
          <w:i w:val="1"/>
          <w:iCs w:val="1"/>
          <w:sz w:val="18"/>
          <w:szCs w:val="18"/>
          <w:shd w:val="clear" w:color="auto" w:fill="ffffff"/>
          <w:lang w:val="en-US"/>
        </w:rPr>
      </w:pPr>
      <w:r>
        <w:rPr>
          <w:rFonts w:ascii="Verdana" w:hAnsi="Verdana"/>
          <w:i w:val="1"/>
          <w:iCs w:val="1"/>
          <w:sz w:val="18"/>
          <w:szCs w:val="18"/>
          <w:shd w:val="clear" w:color="auto" w:fill="ffffff"/>
          <w:rtl w:val="0"/>
          <w:lang w:val="en-US"/>
        </w:rPr>
        <w:t>Regulatory approvals in 14 countries expand treatment options for sickle cell disease, Guillain-Barr</w:t>
      </w:r>
      <w:r>
        <w:rPr>
          <w:rFonts w:ascii="Verdana" w:hAnsi="Verdana" w:hint="default"/>
          <w:i w:val="1"/>
          <w:iCs w:val="1"/>
          <w:sz w:val="18"/>
          <w:szCs w:val="18"/>
          <w:shd w:val="clear" w:color="auto" w:fill="ffffff"/>
          <w:rtl w:val="0"/>
          <w:lang w:val="fr-FR"/>
        </w:rPr>
        <w:t xml:space="preserve">é </w:t>
      </w:r>
      <w:r>
        <w:rPr>
          <w:rFonts w:ascii="Verdana" w:hAnsi="Verdana"/>
          <w:i w:val="1"/>
          <w:iCs w:val="1"/>
          <w:sz w:val="18"/>
          <w:szCs w:val="18"/>
          <w:shd w:val="clear" w:color="auto" w:fill="ffffff"/>
          <w:rtl w:val="0"/>
          <w:lang w:val="en-US"/>
        </w:rPr>
        <w:t>syndrome and myasthenia gravis</w:t>
      </w:r>
      <w:r>
        <w:rPr>
          <w:rStyle w:val="None"/>
          <w:rFonts w:ascii="Verdana" w:hAnsi="Verdana"/>
          <w:i w:val="0"/>
          <w:iCs w:val="0"/>
          <w:sz w:val="18"/>
          <w:szCs w:val="18"/>
          <w:shd w:val="clear" w:color="auto" w:fill="ffffff"/>
          <w:rtl w:val="0"/>
        </w:rPr>
        <w:t xml:space="preserve"> </w:t>
      </w:r>
    </w:p>
    <w:p>
      <w:pPr>
        <w:pStyle w:val="Table Style 2"/>
        <w:numPr>
          <w:ilvl w:val="0"/>
          <w:numId w:val="2"/>
        </w:numPr>
        <w:suppressAutoHyphens w:val="1"/>
        <w:jc w:val="left"/>
        <w:rPr>
          <w:rFonts w:ascii="Verdana" w:hAnsi="Verdana"/>
          <w:i w:val="1"/>
          <w:iCs w:val="1"/>
          <w:sz w:val="18"/>
          <w:szCs w:val="18"/>
          <w:shd w:val="clear" w:color="auto" w:fill="ffffff"/>
          <w:lang w:val="en-US"/>
        </w:rPr>
      </w:pPr>
      <w:r>
        <w:rPr>
          <w:rFonts w:ascii="Verdana" w:hAnsi="Verdana"/>
          <w:i w:val="1"/>
          <w:iCs w:val="1"/>
          <w:sz w:val="18"/>
          <w:szCs w:val="18"/>
          <w:shd w:val="clear" w:color="auto" w:fill="ffffff"/>
          <w:rtl w:val="0"/>
          <w:lang w:val="en-US"/>
        </w:rPr>
        <w:t>Approvals align with the historic World Health Assembly resolution on rare diseases</w:t>
      </w:r>
      <w:r>
        <w:rPr>
          <w:rFonts w:ascii="Verdana" w:hAnsi="Verdana" w:hint="default"/>
          <w:i w:val="1"/>
          <w:iCs w:val="1"/>
          <w:sz w:val="18"/>
          <w:szCs w:val="18"/>
          <w:shd w:val="clear" w:color="auto" w:fill="ffffff"/>
          <w:rtl w:val="0"/>
        </w:rPr>
        <w:t> </w:t>
      </w:r>
    </w:p>
    <w:p>
      <w:pPr>
        <w:pStyle w:val="Table Style 2"/>
        <w:suppressAutoHyphens w:val="1"/>
        <w:jc w:val="both"/>
        <w:rPr>
          <w:rStyle w:val="Hyperlink.0"/>
          <w:rFonts w:ascii="Verdana" w:cs="Verdana" w:hAnsi="Verdana" w:eastAsia="Verdana"/>
          <w:sz w:val="18"/>
          <w:szCs w:val="18"/>
        </w:rPr>
      </w:pPr>
      <w:r>
        <w:rPr>
          <w:rStyle w:val="None"/>
          <w:rFonts w:ascii="Verdana" w:hAnsi="Verdana"/>
          <w:b w:val="1"/>
          <w:bCs w:val="1"/>
          <w:sz w:val="18"/>
          <w:szCs w:val="18"/>
          <w:shd w:val="clear" w:color="auto" w:fill="ffffff"/>
          <w:rtl w:val="0"/>
        </w:rPr>
        <w:t xml:space="preserve">LAKEWOOD, Colo., USA - September 16, 2025 </w:t>
      </w:r>
      <w:r>
        <w:rPr>
          <w:rStyle w:val="Hyperlink.0"/>
          <w:rFonts w:ascii="Verdana" w:hAnsi="Verdana" w:hint="default"/>
          <w:sz w:val="18"/>
          <w:szCs w:val="18"/>
          <w:rtl w:val="0"/>
        </w:rPr>
        <w:t>– </w:t>
      </w:r>
      <w:r>
        <w:rPr>
          <w:rStyle w:val="Hyperlink.0"/>
          <w:rFonts w:ascii="Verdana" w:hAnsi="Verdana"/>
          <w:sz w:val="18"/>
          <w:szCs w:val="18"/>
          <w:rtl w:val="0"/>
          <w:lang w:val="en-US"/>
        </w:rPr>
        <w:t xml:space="preserve">In a significant step toward expanding treatment access for people with rare and chronic diseases in Latin America (LATAM), </w:t>
      </w:r>
      <w:r>
        <w:rPr>
          <w:rStyle w:val="Hyperlink.1"/>
          <w:rFonts w:ascii="Verdana" w:cs="Verdana" w:hAnsi="Verdana" w:eastAsia="Verdana"/>
          <w:sz w:val="18"/>
          <w:szCs w:val="18"/>
        </w:rPr>
        <w:fldChar w:fldCharType="begin" w:fldLock="0"/>
      </w:r>
      <w:r>
        <w:rPr>
          <w:rStyle w:val="Hyperlink.1"/>
          <w:rFonts w:ascii="Verdana" w:cs="Verdana" w:hAnsi="Verdana" w:eastAsia="Verdana"/>
          <w:sz w:val="18"/>
          <w:szCs w:val="18"/>
        </w:rPr>
        <w:instrText xml:space="preserve"> HYPERLINK "https://tracking.vuelio.co.uk/tracking/click?d=ttQbtP4cf0rDiI6WHmu_Om_RuEHenuzJAegnzg_z4NlMFcY6qaJ_X4PEA8f1yK8OOdZOV2Od4teZ8ZTfB2pvFCRvnmwQO9YlhnjzBG811ZwjAts5YE6kJyOYtpPRkZ_sHyBmmSKmyyphv6ITls__Raw1"</w:instrText>
      </w:r>
      <w:r>
        <w:rPr>
          <w:rStyle w:val="Hyperlink.1"/>
          <w:rFonts w:ascii="Verdana" w:cs="Verdana" w:hAnsi="Verdana" w:eastAsia="Verdana"/>
          <w:sz w:val="18"/>
          <w:szCs w:val="18"/>
        </w:rPr>
        <w:fldChar w:fldCharType="separate" w:fldLock="0"/>
      </w:r>
      <w:r>
        <w:rPr>
          <w:rStyle w:val="Hyperlink.1"/>
          <w:rFonts w:ascii="Verdana" w:hAnsi="Verdana"/>
          <w:sz w:val="18"/>
          <w:szCs w:val="18"/>
          <w:rtl w:val="0"/>
          <w:lang w:val="en-US"/>
        </w:rPr>
        <w:t>Terumo Blood and Cell Technologies (Terumo BCT)</w:t>
      </w:r>
      <w:r>
        <w:rPr>
          <w:rFonts w:ascii="Verdana" w:cs="Verdana" w:hAnsi="Verdana" w:eastAsia="Verdana"/>
          <w:sz w:val="18"/>
          <w:szCs w:val="18"/>
        </w:rPr>
        <w:fldChar w:fldCharType="end" w:fldLock="0"/>
      </w:r>
      <w:r>
        <w:rPr>
          <w:rStyle w:val="Hyperlink.0"/>
          <w:rFonts w:ascii="Verdana" w:hAnsi="Verdana"/>
          <w:sz w:val="18"/>
          <w:szCs w:val="18"/>
          <w:rtl w:val="0"/>
          <w:lang w:val="en-US"/>
        </w:rPr>
        <w:t>, a global medical technology company, today announced that its Spectra Optia</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Apheresis System has received regulatory approvals for new therapeutic indications in 14 countries across the region. </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The newly approved treatment indications include sickle cell disease (SCD), Guillain-Barr</w:t>
      </w:r>
      <w:r>
        <w:rPr>
          <w:rStyle w:val="Hyperlink.0"/>
          <w:rFonts w:ascii="Verdana" w:hAnsi="Verdana" w:hint="default"/>
          <w:sz w:val="18"/>
          <w:szCs w:val="18"/>
          <w:rtl w:val="0"/>
          <w:lang w:val="fr-FR"/>
        </w:rPr>
        <w:t xml:space="preserve">é </w:t>
      </w:r>
      <w:r>
        <w:rPr>
          <w:rStyle w:val="Hyperlink.0"/>
          <w:rFonts w:ascii="Verdana" w:hAnsi="Verdana"/>
          <w:sz w:val="18"/>
          <w:szCs w:val="18"/>
          <w:rtl w:val="0"/>
          <w:lang w:val="en-US"/>
        </w:rPr>
        <w:t xml:space="preserve">syndrome (GBS) and myasthenia gravis (MG)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offering clinicians a vital tool in managing these debilitating conditions through automated red blood cell exchange (aRBCX) and therapeutic plasma exchange (TPE).</w:t>
      </w:r>
      <w:r>
        <w:rPr>
          <w:rStyle w:val="Hyperlink.0"/>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Global vision, local impact</w:t>
      </w:r>
      <w:r>
        <w:rPr>
          <w:rStyle w:val="Hyperlink.0"/>
          <w:rFonts w:ascii="Verdana" w:hAnsi="Verdana" w:hint="default"/>
          <w:b w:val="1"/>
          <w:bCs w:val="1"/>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hint="default"/>
          <w:sz w:val="18"/>
          <w:szCs w:val="18"/>
          <w:rtl w:val="1"/>
          <w:lang w:val="ar-SA" w:bidi="ar-SA"/>
        </w:rPr>
        <w:t>“</w:t>
      </w:r>
      <w:r>
        <w:rPr>
          <w:rStyle w:val="Hyperlink.0"/>
          <w:rFonts w:ascii="Verdana" w:hAnsi="Verdana"/>
          <w:sz w:val="18"/>
          <w:szCs w:val="18"/>
          <w:rtl w:val="0"/>
          <w:lang w:val="en-US"/>
        </w:rPr>
        <w:t>Proven therapies are now within reach for thousands of people living with rare and often life-threatening conditions,</w:t>
      </w:r>
      <w:r>
        <w:rPr>
          <w:rStyle w:val="Hyperlink.0"/>
          <w:rFonts w:ascii="Verdana" w:hAnsi="Verdana" w:hint="default"/>
          <w:sz w:val="18"/>
          <w:szCs w:val="18"/>
          <w:rtl w:val="0"/>
        </w:rPr>
        <w:t xml:space="preserve">” </w:t>
      </w:r>
      <w:r>
        <w:rPr>
          <w:rStyle w:val="Hyperlink.0"/>
          <w:rFonts w:ascii="Verdana" w:hAnsi="Verdana"/>
          <w:sz w:val="18"/>
          <w:szCs w:val="18"/>
          <w:rtl w:val="0"/>
          <w:lang w:val="en-US"/>
        </w:rPr>
        <w:t xml:space="preserve">said Antoinette Gawin, President and CEO, Terumo Blood and Cell Technologies.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 xml:space="preserve">These approvals matter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they are a step toward clinical inclusion, establishing a new standard of care in the region and broader health equity.</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 xml:space="preserve">She added, </w:t>
      </w:r>
      <w:r>
        <w:rPr>
          <w:rStyle w:val="Hyperlink.0"/>
          <w:rFonts w:ascii="Verdana" w:hAnsi="Verdana" w:hint="default"/>
          <w:sz w:val="18"/>
          <w:szCs w:val="18"/>
          <w:rtl w:val="1"/>
          <w:lang w:val="ar-SA" w:bidi="ar-SA"/>
        </w:rPr>
        <w:t>“</w:t>
      </w:r>
      <w:r>
        <w:rPr>
          <w:rStyle w:val="Hyperlink.0"/>
          <w:rFonts w:ascii="Verdana" w:hAnsi="Verdana"/>
          <w:sz w:val="18"/>
          <w:szCs w:val="18"/>
          <w:rtl w:val="0"/>
          <w:lang w:val="en-US"/>
        </w:rPr>
        <w:t>And our work isn</w:t>
      </w:r>
      <w:r>
        <w:rPr>
          <w:rStyle w:val="Hyperlink.0"/>
          <w:rFonts w:ascii="Verdana" w:hAnsi="Verdana" w:hint="default"/>
          <w:sz w:val="18"/>
          <w:szCs w:val="18"/>
          <w:rtl w:val="1"/>
        </w:rPr>
        <w:t>’</w:t>
      </w:r>
      <w:r>
        <w:rPr>
          <w:rStyle w:val="Hyperlink.0"/>
          <w:rFonts w:ascii="Verdana" w:hAnsi="Verdana"/>
          <w:sz w:val="18"/>
          <w:szCs w:val="18"/>
          <w:rtl w:val="0"/>
          <w:lang w:val="en-US"/>
        </w:rPr>
        <w:t>t done; our goal is to ensure these therapies are not limited to a few, but integrated into clinical guidelines and hospital protocols and covered by insurance systems.</w:t>
      </w:r>
      <w:r>
        <w:rPr>
          <w:rStyle w:val="Hyperlink.0"/>
          <w:rFonts w:ascii="Verdana" w:hAnsi="Verdana" w:hint="default"/>
          <w:sz w:val="18"/>
          <w:szCs w:val="18"/>
          <w:rtl w:val="0"/>
        </w:rPr>
        <w:t>”</w:t>
      </w:r>
    </w:p>
    <w:p>
      <w:pPr>
        <w:pStyle w:val="Table Style 2"/>
        <w:suppressAutoHyphens w:val="1"/>
        <w:spacing w:after="266"/>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A call to action from the WHA resolution</w:t>
      </w:r>
      <w:r>
        <w:rPr>
          <w:rStyle w:val="Hyperlink.0"/>
          <w:rFonts w:ascii="Verdana" w:hAnsi="Verdana" w:hint="default"/>
          <w:b w:val="1"/>
          <w:bCs w:val="1"/>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This announcement follows the historic adoption of the first-ever World Health Assembly (WHA) resolution on rare diseases, passed on May 25, 2025. The WHA is the main decision-making body of the World Health Organization (WHO) and comprises 194 member states. The resolution calls to strengthen efforts around early di</w:t>
      </w:r>
      <w:r>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435520</wp:posOffset>
            </wp:positionV>
            <wp:extent cx="1800001" cy="1080000"/>
            <wp:effectExtent l="0" t="0" r="0" b="0"/>
            <wp:wrapNone/>
            <wp:docPr id="1073741825" name="officeArt object" descr="IB COMMUNICATIUONS logo LR.jpg"/>
            <wp:cNvGraphicFramePr/>
            <a:graphic xmlns:a="http://schemas.openxmlformats.org/drawingml/2006/main">
              <a:graphicData uri="http://schemas.openxmlformats.org/drawingml/2006/picture">
                <pic:pic xmlns:pic="http://schemas.openxmlformats.org/drawingml/2006/picture">
                  <pic:nvPicPr>
                    <pic:cNvPr id="1073741825" name="IB COMMUNICATIUONS logo LR.jpg" descr="IB COMMUNICATIUONS logo LR.jpg"/>
                    <pic:cNvPicPr>
                      <a:picLocks noChangeAspect="1"/>
                    </pic:cNvPicPr>
                  </pic:nvPicPr>
                  <pic:blipFill>
                    <a:blip r:embed="rId4">
                      <a:extLst/>
                    </a:blip>
                    <a:stretch>
                      <a:fillRect/>
                    </a:stretch>
                  </pic:blipFill>
                  <pic:spPr>
                    <a:xfrm>
                      <a:off x="0" y="0"/>
                      <a:ext cx="1800001" cy="1080000"/>
                    </a:xfrm>
                    <a:prstGeom prst="rect">
                      <a:avLst/>
                    </a:prstGeom>
                    <a:ln w="12700" cap="flat">
                      <a:noFill/>
                      <a:miter lim="400000"/>
                    </a:ln>
                    <a:effectLst/>
                  </pic:spPr>
                </pic:pic>
              </a:graphicData>
            </a:graphic>
          </wp:anchor>
        </w:drawing>
      </w:r>
      <w:r>
        <w:rPr>
          <w:rStyle w:val="Hyperlink.0"/>
          <w:rFonts w:ascii="Verdana" w:hAnsi="Verdana"/>
          <w:sz w:val="18"/>
          <w:szCs w:val="18"/>
          <w:rtl w:val="0"/>
          <w:lang w:val="en-US"/>
        </w:rPr>
        <w:t xml:space="preserve">agnosis, equitable access and treatment innovation for people living with rare diseases. </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pt-PT"/>
        </w:rPr>
        <w:t>Terumo BCT</w:t>
      </w:r>
      <w:r>
        <w:rPr>
          <w:rStyle w:val="Hyperlink.0"/>
          <w:rFonts w:ascii="Verdana" w:hAnsi="Verdana" w:hint="default"/>
          <w:sz w:val="18"/>
          <w:szCs w:val="18"/>
          <w:rtl w:val="1"/>
        </w:rPr>
        <w:t>’</w:t>
      </w:r>
      <w:r>
        <w:rPr>
          <w:rStyle w:val="Hyperlink.0"/>
          <w:rFonts w:ascii="Verdana" w:hAnsi="Verdana"/>
          <w:sz w:val="18"/>
          <w:szCs w:val="18"/>
          <w:rtl w:val="0"/>
          <w:lang w:val="en-US"/>
        </w:rPr>
        <w:t xml:space="preserve">s newly approved therapy indications across Latin America align with this vision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opening new clinical possibilities for underdiagnosed and underserved patient populations in Argentina, Bolivia, Brazil, Chile*, Colombia, Costa Rica, Dominican Republic, Ecuador, El Salvador, Guatemala, Mexico, Panama, Paraguay, Peru and Uruguay.</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rPr>
      </w:pPr>
      <w:r>
        <w:rPr>
          <w:rStyle w:val="Hyperlink.0"/>
          <w:rFonts w:ascii="Verdana" w:hAnsi="Verdana"/>
          <w:sz w:val="18"/>
          <w:szCs w:val="18"/>
          <w:rtl w:val="0"/>
          <w:lang w:val="en-US"/>
        </w:rPr>
        <w:t>The approvals, granted by health authorities across LATAM, are based on clinical evidence demonstrating how aRBCX and TPE are safe and effective in helping manage the diseases [1, 2, 3].</w:t>
      </w:r>
      <w:r>
        <w:rPr>
          <w:rStyle w:val="Hyperlink.0"/>
          <w:rFonts w:ascii="Verdana" w:hAnsi="Verdana" w:hint="default"/>
          <w:sz w:val="18"/>
          <w:szCs w:val="18"/>
          <w:rtl w:val="0"/>
        </w:rPr>
        <w:t>  </w:t>
      </w:r>
    </w:p>
    <w:p>
      <w:pPr>
        <w:pStyle w:val="Table Style 2"/>
        <w:suppressAutoHyphens w:val="1"/>
        <w:spacing w:after="266"/>
        <w:jc w:val="both"/>
        <w:rPr>
          <w:rStyle w:val="None"/>
          <w:rFonts w:ascii="Verdana" w:cs="Verdana" w:hAnsi="Verdana" w:eastAsia="Verdana"/>
          <w:b w:val="0"/>
          <w:bCs w:val="0"/>
          <w:sz w:val="18"/>
          <w:szCs w:val="18"/>
          <w:shd w:val="clear" w:color="auto" w:fill="ffffff"/>
        </w:rPr>
      </w:pPr>
      <w:r>
        <w:rPr>
          <w:rStyle w:val="Hyperlink.0"/>
          <w:rFonts w:ascii="Verdana" w:hAnsi="Verdana"/>
          <w:b w:val="1"/>
          <w:bCs w:val="1"/>
          <w:sz w:val="18"/>
          <w:szCs w:val="18"/>
          <w:rtl w:val="0"/>
          <w:lang w:val="en-US"/>
        </w:rPr>
        <w:t xml:space="preserve">About the diseases </w:t>
      </w:r>
      <w:r>
        <w:rPr>
          <w:rStyle w:val="Hyperlink.0"/>
          <w:rFonts w:ascii="Verdana" w:hAnsi="Verdana" w:hint="default"/>
          <w:b w:val="1"/>
          <w:bCs w:val="1"/>
          <w:sz w:val="18"/>
          <w:szCs w:val="18"/>
          <w:rtl w:val="0"/>
          <w:lang w:val="en-US"/>
        </w:rPr>
        <w:t xml:space="preserve">— </w:t>
      </w:r>
      <w:r>
        <w:rPr>
          <w:rStyle w:val="Hyperlink.0"/>
          <w:rFonts w:ascii="Verdana" w:hAnsi="Verdana"/>
          <w:b w:val="1"/>
          <w:bCs w:val="1"/>
          <w:sz w:val="18"/>
          <w:szCs w:val="18"/>
          <w:rtl w:val="0"/>
          <w:lang w:val="en-US"/>
        </w:rPr>
        <w:t>the human impact of SCD, GBS and MG</w:t>
      </w:r>
      <w:r>
        <w:rPr>
          <w:rStyle w:val="Hyperlink.0"/>
          <w:rFonts w:ascii="Verdana" w:hAnsi="Verdana" w:hint="default"/>
          <w:b w:val="1"/>
          <w:bCs w:val="1"/>
          <w:sz w:val="18"/>
          <w:szCs w:val="18"/>
          <w:rtl w:val="0"/>
        </w:rPr>
        <w:t> </w:t>
      </w:r>
    </w:p>
    <w:p>
      <w:pPr>
        <w:pStyle w:val="Table Style 2"/>
        <w:numPr>
          <w:ilvl w:val="0"/>
          <w:numId w:val="3"/>
        </w:numPr>
        <w:suppressAutoHyphens w:val="1"/>
        <w:jc w:val="both"/>
        <w:rPr>
          <w:rFonts w:ascii="Verdana" w:hAnsi="Verdana"/>
          <w:sz w:val="18"/>
          <w:szCs w:val="18"/>
          <w:lang w:val="en-US"/>
        </w:rPr>
      </w:pPr>
      <w:r>
        <w:rPr>
          <w:rStyle w:val="None"/>
          <w:rFonts w:ascii="Verdana" w:hAnsi="Verdana"/>
          <w:b w:val="1"/>
          <w:bCs w:val="1"/>
          <w:sz w:val="18"/>
          <w:szCs w:val="18"/>
          <w:shd w:val="clear" w:color="auto" w:fill="ffffff"/>
          <w:rtl w:val="0"/>
          <w:lang w:val="en-US"/>
        </w:rPr>
        <w:t xml:space="preserve">Sickle cell disease (SCD): </w:t>
      </w:r>
      <w:r>
        <w:rPr>
          <w:rStyle w:val="Hyperlink.0"/>
          <w:rFonts w:ascii="Verdana" w:hAnsi="Verdana"/>
          <w:sz w:val="18"/>
          <w:szCs w:val="18"/>
          <w:rtl w:val="0"/>
          <w:lang w:val="en-US"/>
        </w:rPr>
        <w:t>A genetic blood disorder that causes red blood cells to become sickle-shaped, leading to vaso-occlusion, causing severe pain episodes and other serious complications. Automated red blood cell exchange is a procedure where sickled cells are replaced with healthy ones using an apheresis system, which helps reduce episodes of pain and complications related to the disease [3]. It is estimated that in Brazil alone, there are 60,000 to 100,000 patients with SCD [4].</w:t>
      </w:r>
      <w:r>
        <w:rPr>
          <w:rStyle w:val="Hyperlink.0"/>
          <w:rFonts w:ascii="Verdana" w:hAnsi="Verdana" w:hint="default"/>
          <w:sz w:val="18"/>
          <w:szCs w:val="18"/>
          <w:rtl w:val="0"/>
        </w:rPr>
        <w:t>  </w:t>
      </w:r>
    </w:p>
    <w:p>
      <w:pPr>
        <w:pStyle w:val="Table Style 2"/>
        <w:numPr>
          <w:ilvl w:val="0"/>
          <w:numId w:val="3"/>
        </w:numPr>
        <w:suppressAutoHyphens w:val="1"/>
        <w:jc w:val="both"/>
        <w:rPr>
          <w:rFonts w:ascii="Verdana" w:hAnsi="Verdana"/>
          <w:sz w:val="18"/>
          <w:szCs w:val="18"/>
        </w:rPr>
      </w:pPr>
      <w:r>
        <w:rPr>
          <w:rStyle w:val="None"/>
          <w:rFonts w:ascii="Verdana" w:hAnsi="Verdana"/>
          <w:b w:val="1"/>
          <w:bCs w:val="1"/>
          <w:sz w:val="18"/>
          <w:szCs w:val="18"/>
          <w:shd w:val="clear" w:color="auto" w:fill="ffffff"/>
          <w:rtl w:val="0"/>
        </w:rPr>
        <w:t>Guillain-Barr</w:t>
      </w:r>
      <w:r>
        <w:rPr>
          <w:rStyle w:val="None"/>
          <w:rFonts w:ascii="Verdana" w:hAnsi="Verdana" w:hint="default"/>
          <w:b w:val="1"/>
          <w:bCs w:val="1"/>
          <w:sz w:val="18"/>
          <w:szCs w:val="18"/>
          <w:shd w:val="clear" w:color="auto" w:fill="ffffff"/>
          <w:rtl w:val="0"/>
          <w:lang w:val="fr-FR"/>
        </w:rPr>
        <w:t xml:space="preserve">é </w:t>
      </w:r>
      <w:r>
        <w:rPr>
          <w:rStyle w:val="None"/>
          <w:rFonts w:ascii="Verdana" w:hAnsi="Verdana"/>
          <w:b w:val="1"/>
          <w:bCs w:val="1"/>
          <w:sz w:val="18"/>
          <w:szCs w:val="18"/>
          <w:shd w:val="clear" w:color="auto" w:fill="ffffff"/>
          <w:rtl w:val="0"/>
          <w:lang w:val="fr-FR"/>
        </w:rPr>
        <w:t xml:space="preserve">syndrome (GBS): </w:t>
      </w:r>
      <w:r>
        <w:rPr>
          <w:rStyle w:val="Hyperlink.0"/>
          <w:rFonts w:ascii="Verdana" w:hAnsi="Verdana"/>
          <w:sz w:val="18"/>
          <w:szCs w:val="18"/>
          <w:rtl w:val="0"/>
          <w:lang w:val="en-US"/>
        </w:rPr>
        <w:t>A rare autoimmune neurological disorder in which a person</w:t>
      </w:r>
      <w:r>
        <w:rPr>
          <w:rStyle w:val="Hyperlink.0"/>
          <w:rFonts w:ascii="Verdana" w:hAnsi="Verdana" w:hint="default"/>
          <w:sz w:val="18"/>
          <w:szCs w:val="18"/>
          <w:rtl w:val="1"/>
        </w:rPr>
        <w:t>’</w:t>
      </w:r>
      <w:r>
        <w:rPr>
          <w:rStyle w:val="Hyperlink.0"/>
          <w:rFonts w:ascii="Verdana" w:hAnsi="Verdana"/>
          <w:sz w:val="18"/>
          <w:szCs w:val="18"/>
          <w:rtl w:val="0"/>
          <w:lang w:val="en-US"/>
        </w:rPr>
        <w:t xml:space="preserve">s immune system attacks part of their peripheral nervous system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the network of nerves that carries signals from the brain and spinal cord to the rest of the body. Symptoms include weakness in the body, numbness, or paralysis, which in the worst form could be life-threatening. Guillain-Barr</w:t>
      </w:r>
      <w:r>
        <w:rPr>
          <w:rStyle w:val="Hyperlink.0"/>
          <w:rFonts w:ascii="Verdana" w:hAnsi="Verdana" w:hint="default"/>
          <w:sz w:val="18"/>
          <w:szCs w:val="18"/>
          <w:rtl w:val="0"/>
          <w:lang w:val="fr-FR"/>
        </w:rPr>
        <w:t xml:space="preserve">é </w:t>
      </w:r>
      <w:r>
        <w:rPr>
          <w:rStyle w:val="Hyperlink.0"/>
          <w:rFonts w:ascii="Verdana" w:hAnsi="Verdana"/>
          <w:sz w:val="18"/>
          <w:szCs w:val="18"/>
          <w:rtl w:val="0"/>
          <w:lang w:val="en-US"/>
        </w:rPr>
        <w:t>syndrome is not contagious or inherited, and the exact cause is unknown. There is no known cure for GBS, though immunotherapy can ease symptoms and help speed recovery. TPE removes the plasma containing antibodies from the patient</w:t>
      </w:r>
      <w:r>
        <w:rPr>
          <w:rStyle w:val="Hyperlink.0"/>
          <w:rFonts w:ascii="Verdana" w:hAnsi="Verdana" w:hint="default"/>
          <w:sz w:val="18"/>
          <w:szCs w:val="18"/>
          <w:rtl w:val="1"/>
        </w:rPr>
        <w:t>’</w:t>
      </w:r>
      <w:r>
        <w:rPr>
          <w:rStyle w:val="Hyperlink.0"/>
          <w:rFonts w:ascii="Verdana" w:hAnsi="Verdana"/>
          <w:sz w:val="18"/>
          <w:szCs w:val="18"/>
          <w:rtl w:val="0"/>
          <w:lang w:val="en-US"/>
        </w:rPr>
        <w:t>s blood and replaces it with healthy plasma. Considering the reported incident rates, it can be estimated that there are between 7,234 and 11,837 cases of GBS in Latin America per year [5,6].</w:t>
      </w:r>
    </w:p>
    <w:p>
      <w:pPr>
        <w:pStyle w:val="Table Style 2"/>
        <w:numPr>
          <w:ilvl w:val="0"/>
          <w:numId w:val="3"/>
        </w:numPr>
        <w:suppressAutoHyphens w:val="1"/>
        <w:jc w:val="both"/>
        <w:rPr>
          <w:rFonts w:ascii="Verdana" w:cs="Verdana" w:hAnsi="Verdana" w:eastAsia="Verdana"/>
          <w:sz w:val="18"/>
          <w:szCs w:val="18"/>
        </w:rPr>
      </w:pPr>
      <w:r>
        <w:rPr>
          <w:rStyle w:val="None"/>
          <w:rFonts w:ascii="Verdana" w:hAnsi="Verdana"/>
          <w:b w:val="1"/>
          <w:bCs w:val="1"/>
          <w:sz w:val="18"/>
          <w:szCs w:val="18"/>
          <w:shd w:val="clear" w:color="auto" w:fill="ffffff"/>
          <w:rtl w:val="0"/>
          <w:lang w:val="en-US"/>
        </w:rPr>
        <w:t xml:space="preserve">Myasthenia gravis (MG): </w:t>
      </w:r>
      <w:r>
        <w:rPr>
          <w:rStyle w:val="Hyperlink.0"/>
          <w:rFonts w:ascii="Verdana" w:hAnsi="Verdana"/>
          <w:sz w:val="18"/>
          <w:szCs w:val="18"/>
          <w:rtl w:val="0"/>
          <w:lang w:val="en-US"/>
        </w:rPr>
        <w:t xml:space="preserve">A chronic neurological disorder that causes muscle weakness. Approximately 15 to 20% of people with MG experience at least one myasthenic crisis in their life </w:t>
      </w:r>
      <w:r>
        <w:rPr>
          <w:rStyle w:val="Hyperlink.0"/>
          <w:rFonts w:ascii="Verdana" w:hAnsi="Verdana" w:hint="default"/>
          <w:sz w:val="18"/>
          <w:szCs w:val="18"/>
          <w:rtl w:val="0"/>
          <w:lang w:val="en-US"/>
        </w:rPr>
        <w:t xml:space="preserve">— </w:t>
      </w:r>
      <w:r>
        <w:rPr>
          <w:rStyle w:val="Hyperlink.0"/>
          <w:rFonts w:ascii="Verdana" w:hAnsi="Verdana"/>
          <w:sz w:val="18"/>
          <w:szCs w:val="18"/>
          <w:rtl w:val="0"/>
          <w:lang w:val="en-US"/>
        </w:rPr>
        <w:t>a state where the muscles that control breathing weaken to the point where a ventilator is needed [7]. Myasthenia gravis is managed with medications and lifestyle changes; however, in more severe cases where rapid response is needed, intravenous immunoglobulin or TPE is used. Worldwide incidence of MG is estimated at over 700,000 people (three to 28 cases per million people) [2].</w:t>
      </w:r>
      <w:r>
        <w:rPr>
          <w:rStyle w:val="Hyperlink.0"/>
          <w:rFonts w:ascii="Verdana" w:hAnsi="Verdana" w:hint="default"/>
          <w:sz w:val="18"/>
          <w:szCs w:val="18"/>
          <w:rtl w:val="0"/>
        </w:rPr>
        <w:t> </w:t>
      </w:r>
    </w:p>
    <w:p>
      <w:pPr>
        <w:pStyle w:val="Table Style 2"/>
        <w:suppressAutoHyphens w:val="1"/>
        <w:spacing w:after="266"/>
        <w:jc w:val="both"/>
        <w:rPr>
          <w:rStyle w:val="Hyperlink.0"/>
          <w:rFonts w:ascii="Verdana" w:cs="Verdana" w:hAnsi="Verdana" w:eastAsia="Verdana"/>
          <w:sz w:val="18"/>
          <w:szCs w:val="18"/>
          <w:u w:color="0067d9"/>
        </w:rPr>
      </w:pPr>
      <w:r>
        <w:rPr>
          <w:rStyle w:val="Hyperlink.0"/>
          <w:rFonts w:ascii="Verdana" w:hAnsi="Verdana"/>
          <w:sz w:val="18"/>
          <w:szCs w:val="18"/>
          <w:u w:color="0067d9"/>
          <w:rtl w:val="0"/>
          <w:lang w:val="en-US"/>
        </w:rPr>
        <w:t xml:space="preserve">*Chile is not regulated for these types of medical devices, visit the Instituto de Salud Publica for more information </w:t>
      </w:r>
      <w:r>
        <w:rPr>
          <w:rStyle w:val="Hyperlink.0"/>
          <w:rFonts w:ascii="Verdana" w:cs="Verdana" w:hAnsi="Verdana" w:eastAsia="Verdana"/>
          <w:sz w:val="18"/>
          <w:szCs w:val="18"/>
          <w:u w:color="0067d9"/>
        </w:rPr>
        <w:fldChar w:fldCharType="begin" w:fldLock="0"/>
      </w:r>
      <w:r>
        <w:rPr>
          <w:rStyle w:val="Hyperlink.0"/>
          <w:rFonts w:ascii="Verdana" w:cs="Verdana" w:hAnsi="Verdana" w:eastAsia="Verdana"/>
          <w:sz w:val="18"/>
          <w:szCs w:val="18"/>
          <w:u w:color="0067d9"/>
        </w:rPr>
        <w:instrText xml:space="preserve"> HYPERLINK "https://tracking.vuelio.co.uk/tracking/click?d=EVpdGRiA6ltU61Mvn240F75clZc3m_UavK1XSc6DbtzSrMkwculop_6s8dabuxfvcT7F0aUVhuV6jWRUcI1AXif3R6Zo2mzwvx6__Ava-oxp4INE2QprhdsLfvSqO_bkFnGn29blsYFHt6iR5jYxDXsUJQkOM4R5JQ3yZrlu3JZNnqyfNRFDnT46YiO3vAGiNJz4BdB4zBWgeeQXxOoRIwTk787b9PPPzmhaxkj0FSTeTHdNU3ahoMzLmva7YIQ_vH9s10trrKib4-cYUTAtrxo1"</w:instrText>
      </w:r>
      <w:r>
        <w:rPr>
          <w:rStyle w:val="Hyperlink.0"/>
          <w:rFonts w:ascii="Verdana" w:cs="Verdana" w:hAnsi="Verdana" w:eastAsia="Verdana"/>
          <w:sz w:val="18"/>
          <w:szCs w:val="18"/>
          <w:u w:color="0067d9"/>
        </w:rPr>
        <w:fldChar w:fldCharType="separate" w:fldLock="0"/>
      </w:r>
      <w:r>
        <w:rPr>
          <w:rStyle w:val="Hyperlink.0"/>
          <w:rFonts w:ascii="Verdana" w:hAnsi="Verdana"/>
          <w:sz w:val="18"/>
          <w:szCs w:val="18"/>
          <w:u w:color="0067d9"/>
          <w:rtl w:val="0"/>
          <w:lang w:val="es-ES_tradnl"/>
        </w:rPr>
        <w:t>https://www.ispch.cl/andim/listado-de-dispositivos-medicos-establecimientos-y-empresas/dispositivos-medicos-con-registro-sanitario/</w:t>
      </w:r>
      <w:r>
        <w:rPr>
          <w:rFonts w:ascii="Verdana" w:cs="Verdana" w:hAnsi="Verdana" w:eastAsia="Verdana"/>
          <w:sz w:val="18"/>
          <w:szCs w:val="18"/>
          <w:u w:color="0067d9"/>
        </w:rPr>
        <w:fldChar w:fldCharType="end" w:fldLock="0"/>
      </w:r>
      <w:r>
        <w:rPr>
          <w:rStyle w:val="Hyperlink.0"/>
          <w:rFonts w:ascii="Verdana" w:hAnsi="Verdana" w:hint="default"/>
          <w:sz w:val="18"/>
          <w:szCs w:val="18"/>
          <w:u w:color="0067d9"/>
          <w:rtl w:val="0"/>
        </w:rPr>
        <w: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About Terumo Blood and Cell Technologies</w:t>
      </w:r>
      <w:r>
        <w:rPr>
          <w:rStyle w:val="None"/>
          <w:rFonts w:ascii="Verdana" w:hAnsi="Verdana" w:hint="default"/>
          <w:b w:val="0"/>
          <w:bCs w:val="0"/>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is a medical technology company. Our products, software and services enable customers to collect and prepare blood and cells to help treat challenging diseases and conditions. Our employees worldwide believe in the potential of blood and cells to do even more for patients than they do today. This belief inspires our innovation and strengthens our collaboration with customers.</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Terumo Blood and Cell Technologies' customers include blood centers, hospitals, therapeutic apheresis clinics, cell collection and processing organizations, researchers and private medical practices. Our customers are based in over 150 countries across the globe. We have 750+ granted patents, with more than 150 additionally pending.</w:t>
      </w:r>
      <w:r>
        <w:rPr>
          <w:rFonts w:ascii="Verdana" w:hAnsi="Verdana" w:hint="default"/>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 xml:space="preserve">We have global headquarters in Lakewood, Colorado, U.S.A., along with five regional headquarters, eight manufacturing sites and six innovation and development centers across the globe. Terumo Blood and Cell Technologies is a subsidiary of Terumo Corporation (TSE: 4543), a global leader in medical technology. </w:t>
      </w:r>
    </w:p>
    <w:p>
      <w:pPr>
        <w:pStyle w:val="Table Style 2"/>
        <w:suppressAutoHyphens w:val="1"/>
        <w:spacing w:after="213"/>
        <w:ind w:left="940" w:hanging="940"/>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en-US"/>
        </w:rPr>
        <w:t>Spectra Optia</w:t>
      </w:r>
      <w:r>
        <w:rPr>
          <w:rFonts w:ascii="Verdana" w:hAnsi="Verdana" w:hint="default"/>
          <w:b w:val="1"/>
          <w:bCs w:val="1"/>
          <w:sz w:val="18"/>
          <w:szCs w:val="18"/>
          <w:shd w:val="clear" w:color="auto" w:fill="ffffff"/>
          <w:rtl w:val="0"/>
        </w:rPr>
        <w:t xml:space="preserve">™ </w:t>
      </w:r>
      <w:r>
        <w:rPr>
          <w:rFonts w:ascii="Verdana" w:hAnsi="Verdana"/>
          <w:b w:val="1"/>
          <w:bCs w:val="1"/>
          <w:sz w:val="18"/>
          <w:szCs w:val="18"/>
          <w:shd w:val="clear" w:color="auto" w:fill="ffffff"/>
          <w:rtl w:val="0"/>
          <w:lang w:val="en-US"/>
        </w:rPr>
        <w:t>Apheresis System</w:t>
      </w:r>
      <w:r>
        <w:rPr>
          <w:rStyle w:val="None"/>
          <w:rFonts w:ascii="Verdana" w:hAnsi="Verdana" w:hint="default"/>
          <w:b w:val="0"/>
          <w:bCs w:val="0"/>
          <w:sz w:val="18"/>
          <w:szCs w:val="18"/>
          <w:shd w:val="clear" w:color="auto" w:fill="ffffff"/>
          <w:rtl w:val="0"/>
        </w:rPr>
        <w:t> </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The Spectra Optia system is a user-friendly, versatile, industry-leading therapeutic apheresis, cell processing and cell collection platform that allows operators to spend more time focusing on patient care. Therapeutic apheresis is used widely for a variety of applications. For example, practitioners use red blood cell exchange (RBCX) for sickle cell disease treatment; cell collections for stem cell transplantations and to collect starting material for cell therapies; and therapeutic plasma exchange (TPE) to treat a variety of blood and neurological disorders.</w:t>
      </w:r>
      <w:r>
        <w:rPr>
          <w:rFonts w:ascii="Verdana" w:hAnsi="Verdana" w:hint="default"/>
          <w:sz w:val="18"/>
          <w:szCs w:val="18"/>
          <w:shd w:val="clear" w:color="auto" w:fill="ffffff"/>
          <w:rtl w:val="0"/>
        </w:rPr>
        <w:t> </w:t>
      </w:r>
    </w:p>
    <w:p>
      <w:pPr>
        <w:pStyle w:val="Table Style 2"/>
        <w:suppressAutoHyphens w:val="1"/>
        <w:spacing w:after="213"/>
        <w:jc w:val="left"/>
        <w:rPr>
          <w:rStyle w:val="None"/>
          <w:rFonts w:ascii="Verdana" w:cs="Verdana" w:hAnsi="Verdana" w:eastAsia="Verdana"/>
          <w:i w:val="0"/>
          <w:iCs w:val="0"/>
          <w:sz w:val="18"/>
          <w:szCs w:val="18"/>
          <w:shd w:val="clear" w:color="auto" w:fill="ffffff"/>
          <w:vertAlign w:val="superscript"/>
        </w:rPr>
      </w:pPr>
      <w:r>
        <w:rPr>
          <w:rFonts w:ascii="Verdana" w:hAnsi="Verdana"/>
          <w:i w:val="1"/>
          <w:iCs w:val="1"/>
          <w:sz w:val="18"/>
          <w:szCs w:val="18"/>
          <w:shd w:val="clear" w:color="auto" w:fill="ffffff"/>
          <w:vertAlign w:val="superscript"/>
          <w:rtl w:val="0"/>
          <w:lang w:val="en-US"/>
        </w:rPr>
        <w:t>Product and protocol availability varies by country based on regulatory approvals.</w:t>
      </w:r>
      <w:r>
        <w:rPr>
          <w:rStyle w:val="None"/>
          <w:rFonts w:ascii="Verdana" w:hAnsi="Verdana" w:hint="default"/>
          <w:i w:val="0"/>
          <w:iCs w:val="0"/>
          <w:sz w:val="18"/>
          <w:szCs w:val="18"/>
          <w:shd w:val="clear" w:color="auto" w:fill="ffffff"/>
          <w:vertAlign w:val="superscript"/>
          <w:rtl w:val="0"/>
        </w:rPr>
        <w:t> </w:t>
      </w:r>
    </w:p>
    <w:p>
      <w:pPr>
        <w:pStyle w:val="Table Style 2"/>
        <w:suppressAutoHyphens w:val="1"/>
        <w:spacing w:after="213"/>
        <w:jc w:val="left"/>
        <w:rPr>
          <w:rStyle w:val="None"/>
          <w:rFonts w:ascii="Verdana" w:cs="Verdana" w:hAnsi="Verdana" w:eastAsia="Verdana"/>
          <w:b w:val="0"/>
          <w:bCs w:val="0"/>
          <w:sz w:val="18"/>
          <w:szCs w:val="18"/>
          <w:shd w:val="clear" w:color="auto" w:fill="ffffff"/>
        </w:rPr>
      </w:pPr>
      <w:r>
        <w:rPr>
          <w:rFonts w:ascii="Verdana" w:hAnsi="Verdana"/>
          <w:b w:val="1"/>
          <w:bCs w:val="1"/>
          <w:sz w:val="18"/>
          <w:szCs w:val="18"/>
          <w:shd w:val="clear" w:color="auto" w:fill="ffffff"/>
          <w:rtl w:val="0"/>
          <w:lang w:val="fr-FR"/>
        </w:rPr>
        <w:t>References</w:t>
      </w:r>
    </w:p>
    <w:p>
      <w:pPr>
        <w:pStyle w:val="Table Style 2"/>
        <w:suppressAutoHyphens w:val="1"/>
        <w:spacing w:after="213"/>
        <w:jc w:val="left"/>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 xml:space="preserve">[1] National Institute for Health and Care Excellence. Spectra Optia for automatic red blood cell exchange in patients with sickle cell disease. </w:t>
      </w:r>
      <w:r>
        <w:rPr>
          <w:rStyle w:val="Hyperlink.2"/>
          <w:rFonts w:ascii="Verdana" w:cs="Verdana" w:hAnsi="Verdana" w:eastAsia="Verdana"/>
          <w:sz w:val="18"/>
          <w:szCs w:val="18"/>
          <w:shd w:val="clear" w:color="auto" w:fill="ffffff"/>
        </w:rPr>
        <w:fldChar w:fldCharType="begin" w:fldLock="0"/>
      </w:r>
      <w:r>
        <w:rPr>
          <w:rStyle w:val="Hyperlink.2"/>
          <w:rFonts w:ascii="Verdana" w:cs="Verdana" w:hAnsi="Verdana" w:eastAsia="Verdana"/>
          <w:sz w:val="18"/>
          <w:szCs w:val="18"/>
          <w:shd w:val="clear" w:color="auto" w:fill="ffffff"/>
        </w:rPr>
        <w:instrText xml:space="preserve"> HYPERLINK "https://tracking.vuelio.co.uk/tracking/click?d=owFaHgqVeirVPNMakH4eUUdJc8UTl6Re2nsnQomY_XG3uolOXIMkDM_Rq5rE2MFOaJt7TvVi23FA0Y7GIPeLsuoAdmV1qDQENDRZiKiRcKkfCNA0iYL7MM13vYOzGl5xXE-_gHZArTDdW9mmsjzCiU01"</w:instrText>
      </w:r>
      <w:r>
        <w:rPr>
          <w:rStyle w:val="Hyperlink.2"/>
          <w:rFonts w:ascii="Verdana" w:cs="Verdana" w:hAnsi="Verdana" w:eastAsia="Verdana"/>
          <w:sz w:val="18"/>
          <w:szCs w:val="18"/>
          <w:shd w:val="clear" w:color="auto" w:fill="ffffff"/>
        </w:rPr>
        <w:fldChar w:fldCharType="separate" w:fldLock="0"/>
      </w:r>
      <w:r>
        <w:rPr>
          <w:rStyle w:val="Hyperlink.2"/>
          <w:rFonts w:ascii="Verdana" w:hAnsi="Verdana"/>
          <w:sz w:val="18"/>
          <w:szCs w:val="18"/>
          <w:shd w:val="clear" w:color="auto" w:fill="ffffff"/>
          <w:rtl w:val="0"/>
          <w:lang w:val="en-US"/>
        </w:rPr>
        <w:t>https://www.nice.org.uk/guidance/mtg28</w:t>
      </w:r>
      <w:r>
        <w:rPr>
          <w:rFonts w:ascii="Verdana" w:cs="Verdana" w:hAnsi="Verdana" w:eastAsia="Verdana"/>
          <w:sz w:val="18"/>
          <w:szCs w:val="18"/>
          <w:shd w:val="clear" w:color="auto" w:fill="ffffff"/>
        </w:rPr>
        <w:fldChar w:fldCharType="end" w:fldLock="0"/>
      </w:r>
      <w:r>
        <w:rPr>
          <w:rFonts w:ascii="Verdana" w:hAnsi="Verdana"/>
          <w:sz w:val="18"/>
          <w:szCs w:val="18"/>
          <w:shd w:val="clear" w:color="auto" w:fill="ffffff"/>
          <w:rtl w:val="0"/>
          <w:lang w:val="en-US"/>
        </w:rPr>
        <w:t>. Medical technologies guidance (MTG28). Published March 2016. Reviewed August 2020.</w:t>
      </w:r>
      <w:r>
        <w:rPr>
          <w:rFonts w:ascii="Verdana" w:hAnsi="Verdana" w:hint="default"/>
          <w:sz w:val="18"/>
          <w:szCs w:val="18"/>
          <w:shd w:val="clear" w:color="auto" w:fill="ffffff"/>
          <w:rtl w:val="0"/>
        </w:rPr>
        <w:t>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[2] Chevret S, Hughes RAC, Annane D. Plasma exchange for Guillain-Barr</w:t>
      </w:r>
      <w:r>
        <w:rPr>
          <w:rFonts w:ascii="Verdana" w:hAnsi="Verdana" w:hint="default"/>
          <w:sz w:val="18"/>
          <w:szCs w:val="18"/>
          <w:shd w:val="clear" w:color="auto" w:fill="ffffff"/>
          <w:rtl w:val="0"/>
          <w:lang w:val="fr-FR"/>
        </w:rPr>
        <w:t xml:space="preserve">é </w:t>
      </w:r>
      <w:r>
        <w:rPr>
          <w:rFonts w:ascii="Verdana" w:hAnsi="Verdana"/>
          <w:sz w:val="18"/>
          <w:szCs w:val="18"/>
          <w:shd w:val="clear" w:color="auto" w:fill="ffffff"/>
          <w:rtl w:val="0"/>
        </w:rPr>
        <w:t xml:space="preserve">syndrome. </w:t>
      </w:r>
      <w:r>
        <w:rPr>
          <w:rStyle w:val="None"/>
          <w:rFonts w:ascii="Verdana" w:hAnsi="Verdana"/>
          <w:i w:val="1"/>
          <w:iCs w:val="1"/>
          <w:sz w:val="18"/>
          <w:szCs w:val="18"/>
          <w:shd w:val="clear" w:color="auto" w:fill="ffffff"/>
          <w:rtl w:val="0"/>
          <w:lang w:val="de-DE"/>
        </w:rPr>
        <w:t>Cochrane Database Syst Rev</w:t>
      </w:r>
      <w:r>
        <w:rPr>
          <w:rFonts w:ascii="Verdana" w:hAnsi="Verdana"/>
          <w:sz w:val="18"/>
          <w:szCs w:val="18"/>
          <w:shd w:val="clear" w:color="auto" w:fill="ffffff"/>
          <w:rtl w:val="0"/>
        </w:rPr>
        <w:t xml:space="preserve">. 2017;2:CD001798.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pt-PT"/>
        </w:rPr>
        <w:t xml:space="preserve">[3] Sanders DB, Wolfe GI, Benatar M, </w:t>
      </w:r>
      <w:r>
        <w:rPr>
          <w:rStyle w:val="None"/>
          <w:rFonts w:ascii="Verdana" w:hAnsi="Verdana"/>
          <w:i w:val="1"/>
          <w:iCs w:val="1"/>
          <w:sz w:val="18"/>
          <w:szCs w:val="18"/>
          <w:shd w:val="clear" w:color="auto" w:fill="ffffff"/>
          <w:rtl w:val="0"/>
          <w:lang w:val="nl-NL"/>
        </w:rPr>
        <w:t>et al</w:t>
      </w:r>
      <w:r>
        <w:rPr>
          <w:rFonts w:ascii="Verdana" w:hAnsi="Verdana"/>
          <w:sz w:val="18"/>
          <w:szCs w:val="18"/>
          <w:shd w:val="clear" w:color="auto" w:fill="ffffff"/>
          <w:rtl w:val="0"/>
          <w:lang w:val="en-US"/>
        </w:rPr>
        <w:t xml:space="preserve">. International consensus guidance for management of myasthenia gravis: Executive summary. </w:t>
      </w:r>
      <w:r>
        <w:rPr>
          <w:rStyle w:val="None"/>
          <w:rFonts w:ascii="Verdana" w:hAnsi="Verdana"/>
          <w:i w:val="1"/>
          <w:iCs w:val="1"/>
          <w:sz w:val="18"/>
          <w:szCs w:val="18"/>
          <w:shd w:val="clear" w:color="auto" w:fill="ffffff"/>
          <w:rtl w:val="0"/>
        </w:rPr>
        <w:t>Neurology</w:t>
      </w:r>
      <w:r>
        <w:rPr>
          <w:rFonts w:ascii="Verdana" w:hAnsi="Verdana"/>
          <w:sz w:val="18"/>
          <w:szCs w:val="18"/>
          <w:shd w:val="clear" w:color="auto" w:fill="ffffff"/>
          <w:rtl w:val="0"/>
        </w:rPr>
        <w:t xml:space="preserve">. 2016;87(4):419-425.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[4] Govenment of Brazil. Minist</w:t>
      </w:r>
      <w:r>
        <w:rPr>
          <w:rFonts w:ascii="Verdana" w:hAnsi="Verdana" w:hint="default"/>
          <w:sz w:val="18"/>
          <w:szCs w:val="18"/>
          <w:shd w:val="clear" w:color="auto" w:fill="ffffff"/>
          <w:rtl w:val="0"/>
          <w:lang w:val="fr-FR"/>
        </w:rPr>
        <w:t>é</w:t>
      </w:r>
      <w:r>
        <w:rPr>
          <w:rFonts w:ascii="Verdana" w:hAnsi="Verdana"/>
          <w:sz w:val="18"/>
          <w:szCs w:val="18"/>
          <w:shd w:val="clear" w:color="auto" w:fill="ffffff"/>
          <w:rtl w:val="0"/>
          <w:lang w:val="pt-PT"/>
        </w:rPr>
        <w:t>rio da Sa</w:t>
      </w:r>
      <w:r>
        <w:rPr>
          <w:rFonts w:ascii="Verdana" w:hAnsi="Verdana" w:hint="default"/>
          <w:sz w:val="18"/>
          <w:szCs w:val="18"/>
          <w:shd w:val="clear" w:color="auto" w:fill="ffffff"/>
          <w:rtl w:val="0"/>
        </w:rPr>
        <w:t>ú</w:t>
      </w:r>
      <w:r>
        <w:rPr>
          <w:rFonts w:ascii="Verdana" w:hAnsi="Verdana"/>
          <w:sz w:val="18"/>
          <w:szCs w:val="18"/>
          <w:shd w:val="clear" w:color="auto" w:fill="ffffff"/>
          <w:rtl w:val="0"/>
          <w:lang w:val="nl-NL"/>
        </w:rPr>
        <w:t>de. Doen</w:t>
      </w:r>
      <w:r>
        <w:rPr>
          <w:rFonts w:ascii="Verdana" w:hAnsi="Verdana" w:hint="default"/>
          <w:sz w:val="18"/>
          <w:szCs w:val="18"/>
          <w:shd w:val="clear" w:color="auto" w:fill="ffffff"/>
          <w:rtl w:val="0"/>
        </w:rPr>
        <w:t>ç</w:t>
      </w:r>
      <w:r>
        <w:rPr>
          <w:rFonts w:ascii="Verdana" w:hAnsi="Verdana"/>
          <w:sz w:val="18"/>
          <w:szCs w:val="18"/>
          <w:shd w:val="clear" w:color="auto" w:fill="ffffff"/>
          <w:rtl w:val="0"/>
          <w:lang w:val="en-US"/>
        </w:rPr>
        <w:t xml:space="preserve">a falciforme. Accessed August 25, 2025. </w:t>
      </w:r>
      <w:r>
        <w:rPr>
          <w:rStyle w:val="Hyperlink.3"/>
          <w:rFonts w:ascii="Verdana" w:cs="Verdana" w:hAnsi="Verdana" w:eastAsia="Verdana"/>
          <w:sz w:val="18"/>
          <w:szCs w:val="18"/>
          <w:shd w:val="clear" w:color="auto" w:fill="ffffff"/>
        </w:rPr>
        <w:fldChar w:fldCharType="begin" w:fldLock="0"/>
      </w:r>
      <w:r>
        <w:rPr>
          <w:rStyle w:val="Hyperlink.3"/>
          <w:rFonts w:ascii="Verdana" w:cs="Verdana" w:hAnsi="Verdana" w:eastAsia="Verdana"/>
          <w:sz w:val="18"/>
          <w:szCs w:val="18"/>
          <w:shd w:val="clear" w:color="auto" w:fill="ffffff"/>
        </w:rPr>
        <w:instrText xml:space="preserve"> HYPERLINK "https://tracking.vuelio.co.uk/tracking/click?d=q84lD_BjrLcb5qQQ8jKsiiTPV3EHHtCMSkKGn1NFqAcrNo4WUqfk5D0KO5ynznP3XBqHYKPE4td4Pqc8h0ZNwl4lnII4_UiLXOeclEyZeFZiSc1Ojp9AiTXYjlkUs5zwHWYy0r_mGbQzdiuut0cBVnu05lgGbf_DLNtoeat_E0r-soKf4PtaFldzu1zlTSu1A0yV2uTaCovOwnFmsCZCRfI1"</w:instrText>
      </w:r>
      <w:r>
        <w:rPr>
          <w:rStyle w:val="Hyperlink.3"/>
          <w:rFonts w:ascii="Verdana" w:cs="Verdana" w:hAnsi="Verdana" w:eastAsia="Verdana"/>
          <w:sz w:val="18"/>
          <w:szCs w:val="18"/>
          <w:shd w:val="clear" w:color="auto" w:fill="ffffff"/>
        </w:rPr>
        <w:fldChar w:fldCharType="separate" w:fldLock="0"/>
      </w:r>
      <w:r>
        <w:rPr>
          <w:rStyle w:val="Hyperlink.3"/>
          <w:rFonts w:ascii="Verdana" w:hAnsi="Verdana"/>
          <w:sz w:val="18"/>
          <w:szCs w:val="18"/>
          <w:shd w:val="clear" w:color="auto" w:fill="ffffff"/>
          <w:rtl w:val="0"/>
          <w:lang w:val="pt-PT"/>
        </w:rPr>
        <w:t>https://www.gov.br/saude/pt-br/assuntos/saude-de-a-a-z/d/doenca-falciforme</w:t>
      </w:r>
      <w:r>
        <w:rPr>
          <w:rFonts w:ascii="Verdana" w:cs="Verdana" w:hAnsi="Verdana" w:eastAsia="Verdana"/>
          <w:sz w:val="18"/>
          <w:szCs w:val="18"/>
          <w:shd w:val="clear" w:color="auto" w:fill="ffffff"/>
        </w:rPr>
        <w:fldChar w:fldCharType="end" w:fldLock="0"/>
      </w:r>
      <w:r>
        <w:rPr>
          <w:rFonts w:ascii="Verdana" w:hAnsi="Verdana" w:hint="default"/>
          <w:sz w:val="18"/>
          <w:szCs w:val="18"/>
          <w:shd w:val="clear" w:color="auto" w:fill="ffffff"/>
          <w:rtl w:val="0"/>
        </w:rPr>
        <w:t xml:space="preserve">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[5] Alter M. The epidemiology of Guillain-Barr</w:t>
      </w:r>
      <w:r>
        <w:rPr>
          <w:rFonts w:ascii="Verdana" w:hAnsi="Verdana" w:hint="default"/>
          <w:sz w:val="18"/>
          <w:szCs w:val="18"/>
          <w:shd w:val="clear" w:color="auto" w:fill="ffffff"/>
          <w:rtl w:val="0"/>
          <w:lang w:val="fr-FR"/>
        </w:rPr>
        <w:t xml:space="preserve">é </w:t>
      </w:r>
      <w:r>
        <w:rPr>
          <w:rFonts w:ascii="Verdana" w:hAnsi="Verdana"/>
          <w:sz w:val="18"/>
          <w:szCs w:val="18"/>
          <w:shd w:val="clear" w:color="auto" w:fill="ffffff"/>
          <w:rtl w:val="0"/>
        </w:rPr>
        <w:t xml:space="preserve">syndrome. </w:t>
      </w:r>
      <w:r>
        <w:rPr>
          <w:rStyle w:val="None"/>
          <w:rFonts w:ascii="Verdana" w:hAnsi="Verdana"/>
          <w:i w:val="1"/>
          <w:iCs w:val="1"/>
          <w:sz w:val="18"/>
          <w:szCs w:val="18"/>
          <w:shd w:val="clear" w:color="auto" w:fill="ffffff"/>
          <w:rtl w:val="0"/>
          <w:lang w:val="de-DE"/>
        </w:rPr>
        <w:t>Ann Neurol</w:t>
      </w:r>
      <w:r>
        <w:rPr>
          <w:rFonts w:ascii="Verdana" w:hAnsi="Verdana"/>
          <w:sz w:val="18"/>
          <w:szCs w:val="18"/>
          <w:shd w:val="clear" w:color="auto" w:fill="ffffff"/>
          <w:rtl w:val="0"/>
        </w:rPr>
        <w:t xml:space="preserve">. 1990;27(suppl 1):S7-S12. </w:t>
      </w:r>
    </w:p>
    <w:p>
      <w:pPr>
        <w:pStyle w:val="Table Style 2"/>
        <w:suppressAutoHyphens w:val="1"/>
        <w:spacing w:after="213"/>
        <w:jc w:val="both"/>
        <w:rPr>
          <w:rFonts w:ascii="Verdana" w:cs="Verdana" w:hAnsi="Verdana" w:eastAsia="Verdana"/>
          <w:sz w:val="18"/>
          <w:szCs w:val="18"/>
          <w:shd w:val="clear" w:color="auto" w:fill="ffffff"/>
        </w:rPr>
      </w:pPr>
      <w:r>
        <w:rPr>
          <w:rFonts w:ascii="Verdana" w:hAnsi="Verdana"/>
          <w:sz w:val="18"/>
          <w:szCs w:val="18"/>
          <w:shd w:val="clear" w:color="auto" w:fill="ffffff"/>
          <w:rtl w:val="0"/>
          <w:lang w:val="en-US"/>
        </w:rPr>
        <w:t xml:space="preserve">[6] World Bank Group. Data. Population, total - Latin America &amp; Caribbean. 1960-2023. Accessed August 25, 2025. </w:t>
      </w:r>
      <w:r>
        <w:rPr>
          <w:rStyle w:val="Hyperlink.3"/>
          <w:rFonts w:ascii="Verdana" w:cs="Verdana" w:hAnsi="Verdana" w:eastAsia="Verdana"/>
          <w:sz w:val="18"/>
          <w:szCs w:val="18"/>
          <w:shd w:val="clear" w:color="auto" w:fill="ffffff"/>
        </w:rPr>
        <w:fldChar w:fldCharType="begin" w:fldLock="0"/>
      </w:r>
      <w:r>
        <w:rPr>
          <w:rStyle w:val="Hyperlink.3"/>
          <w:rFonts w:ascii="Verdana" w:cs="Verdana" w:hAnsi="Verdana" w:eastAsia="Verdana"/>
          <w:sz w:val="18"/>
          <w:szCs w:val="18"/>
          <w:shd w:val="clear" w:color="auto" w:fill="ffffff"/>
        </w:rPr>
        <w:instrText xml:space="preserve"> HYPERLINK "https://tracking.vuelio.co.uk/tracking/click?d=tWwW5fH47_yFaf7c5Ce2UNNmH-FUUc-Fpe8k5VYwR6gWpZ6shKoDJdMLrE_VCyGRzKasnq2qgsZDAcsKloqgW5xnKzFrJIUGR1kzRQOHdNWMbvHME9l6Ed0ly3AooM565lUfdfDRombQcA0-LxQ2jN_WNqRGA3pa_oom3GLOl2EVkbbJfoo7BZIuAht4ea-yu126YbB1VRRxErZRTCJ0LjbkthPgKQi0IrP7AT_SWV8A0"</w:instrText>
      </w:r>
      <w:r>
        <w:rPr>
          <w:rStyle w:val="Hyperlink.3"/>
          <w:rFonts w:ascii="Verdana" w:cs="Verdana" w:hAnsi="Verdana" w:eastAsia="Verdana"/>
          <w:sz w:val="18"/>
          <w:szCs w:val="18"/>
          <w:shd w:val="clear" w:color="auto" w:fill="ffffff"/>
        </w:rPr>
        <w:fldChar w:fldCharType="separate" w:fldLock="0"/>
      </w:r>
      <w:r>
        <w:rPr>
          <w:rStyle w:val="Hyperlink.3"/>
          <w:rFonts w:ascii="Verdana" w:hAnsi="Verdana"/>
          <w:sz w:val="18"/>
          <w:szCs w:val="18"/>
          <w:shd w:val="clear" w:color="auto" w:fill="ffffff"/>
          <w:rtl w:val="0"/>
          <w:lang w:val="en-US"/>
        </w:rPr>
        <w:t>https://data.worldbank.org/indicator/SP.POP.TOTL?end=2023&amp;locations=ZJ&amp;start=1960&amp;view=chart</w:t>
      </w:r>
      <w:r>
        <w:rPr>
          <w:rFonts w:ascii="Verdana" w:cs="Verdana" w:hAnsi="Verdana" w:eastAsia="Verdana"/>
          <w:sz w:val="18"/>
          <w:szCs w:val="18"/>
          <w:shd w:val="clear" w:color="auto" w:fill="ffffff"/>
        </w:rPr>
        <w:fldChar w:fldCharType="end" w:fldLock="0"/>
      </w:r>
      <w:r>
        <w:rPr>
          <w:rFonts w:ascii="Verdana" w:hAnsi="Verdana" w:hint="default"/>
          <w:sz w:val="18"/>
          <w:szCs w:val="18"/>
          <w:shd w:val="clear" w:color="auto" w:fill="ffffff"/>
          <w:rtl w:val="0"/>
        </w:rPr>
        <w:t xml:space="preserve">  </w:t>
      </w:r>
    </w:p>
    <w:p>
      <w:pPr>
        <w:pStyle w:val="Table Style 2"/>
        <w:suppressAutoHyphens w:val="1"/>
        <w:spacing w:after="213"/>
        <w:jc w:val="both"/>
      </w:pPr>
      <w:r>
        <w:rPr>
          <w:rFonts w:ascii="Verdana" w:hAnsi="Verdana"/>
          <w:sz w:val="18"/>
          <w:szCs w:val="18"/>
          <w:shd w:val="clear" w:color="auto" w:fill="ffffff"/>
          <w:rtl w:val="0"/>
          <w:lang w:val="en-US"/>
        </w:rPr>
        <w:t xml:space="preserve">[7] National Institute of Neurological Disorders and Stroke. Health information: Myasthenia gravis. Accessed August 25, 2025. </w:t>
      </w:r>
      <w:r>
        <w:rPr>
          <w:rStyle w:val="Hyperlink.3"/>
          <w:rFonts w:ascii="Verdana" w:cs="Verdana" w:hAnsi="Verdana" w:eastAsia="Verdana"/>
          <w:sz w:val="18"/>
          <w:szCs w:val="18"/>
          <w:shd w:val="clear" w:color="auto" w:fill="ffffff"/>
        </w:rPr>
        <w:fldChar w:fldCharType="begin" w:fldLock="0"/>
      </w:r>
      <w:r>
        <w:rPr>
          <w:rStyle w:val="Hyperlink.3"/>
          <w:rFonts w:ascii="Verdana" w:cs="Verdana" w:hAnsi="Verdana" w:eastAsia="Verdana"/>
          <w:sz w:val="18"/>
          <w:szCs w:val="18"/>
          <w:shd w:val="clear" w:color="auto" w:fill="ffffff"/>
        </w:rPr>
        <w:instrText xml:space="preserve"> HYPERLINK "https://tracking.vuelio.co.uk/tracking/click?d=G6IJtH8LUgsUrq4sRjaipDMkPN_I0hUeefemnd4y7tUlUf14VmoO-yCkrDYAaFvW__EmjxY1QkJ3_GBHC6ggoFOnaftmd0FrU8vqpUZDi0nPQsfn4tdUTC5gevtDPXC7s5T00or-DAPt_H7uWBsrQEFnH9bxJPs9SP2C9ALbsbVFXShTql8ZFzUGbYalVpMcO7DRYvXARjMzXpZ4INsxUoU1"</w:instrText>
      </w:r>
      <w:r>
        <w:rPr>
          <w:rStyle w:val="Hyperlink.3"/>
          <w:rFonts w:ascii="Verdana" w:cs="Verdana" w:hAnsi="Verdana" w:eastAsia="Verdana"/>
          <w:sz w:val="18"/>
          <w:szCs w:val="18"/>
          <w:shd w:val="clear" w:color="auto" w:fill="ffffff"/>
        </w:rPr>
        <w:fldChar w:fldCharType="separate" w:fldLock="0"/>
      </w:r>
      <w:r>
        <w:rPr>
          <w:rStyle w:val="Hyperlink.3"/>
          <w:rFonts w:ascii="Verdana" w:hAnsi="Verdana"/>
          <w:sz w:val="18"/>
          <w:szCs w:val="18"/>
          <w:shd w:val="clear" w:color="auto" w:fill="ffffff"/>
          <w:rtl w:val="0"/>
          <w:lang w:val="en-US"/>
        </w:rPr>
        <w:t>https://www.ninds.nih.gov/health-information/disorders/myasthenia-gravis</w:t>
      </w:r>
      <w:r>
        <w:rPr>
          <w:rFonts w:ascii="Verdana" w:cs="Verdana" w:hAnsi="Verdana" w:eastAsia="Verdana"/>
          <w:sz w:val="18"/>
          <w:szCs w:val="18"/>
          <w:shd w:val="clear" w:color="auto" w:fill="ffffff"/>
        </w:rPr>
        <w:fldChar w:fldCharType="end" w:fldLock="0"/>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
  </w:abstractNum>
  <w:abstractNum w:abstractNumId="1">
    <w:multiLevelType w:val="hybridMultilevel"/>
    <w:styleLink w:val="Bullet"/>
    <w:lvl w:ilvl="0">
      <w:start w:val="1"/>
      <w:numFmt w:val="bullet"/>
      <w:suff w:val="tab"/>
      <w:lvlText w:val="•"/>
      <w:lvlJc w:val="left"/>
      <w:pPr>
        <w:ind w:left="720" w:hanging="500"/>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0"/>
        <w:highlight w:val="none"/>
        <w:vertAlign w:val="baseline"/>
      </w:rPr>
    </w:lvl>
    <w:lvl w:ilvl="1">
      <w:start w:val="1"/>
      <w:numFmt w:val="bullet"/>
      <w:suff w:val="tab"/>
      <w:lvlText w:val="•"/>
      <w:lvlJc w:val="left"/>
      <w:pPr>
        <w:ind w:left="77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2">
      <w:start w:val="1"/>
      <w:numFmt w:val="bullet"/>
      <w:suff w:val="tab"/>
      <w:lvlText w:val="•"/>
      <w:lvlJc w:val="left"/>
      <w:pPr>
        <w:ind w:left="99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3">
      <w:start w:val="1"/>
      <w:numFmt w:val="bullet"/>
      <w:suff w:val="tab"/>
      <w:lvlText w:val="•"/>
      <w:lvlJc w:val="left"/>
      <w:pPr>
        <w:ind w:left="121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4">
      <w:start w:val="1"/>
      <w:numFmt w:val="bullet"/>
      <w:suff w:val="tab"/>
      <w:lvlText w:val="•"/>
      <w:lvlJc w:val="left"/>
      <w:pPr>
        <w:ind w:left="143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5">
      <w:start w:val="1"/>
      <w:numFmt w:val="bullet"/>
      <w:suff w:val="tab"/>
      <w:lvlText w:val="•"/>
      <w:lvlJc w:val="left"/>
      <w:pPr>
        <w:ind w:left="165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6">
      <w:start w:val="1"/>
      <w:numFmt w:val="bullet"/>
      <w:suff w:val="tab"/>
      <w:lvlText w:val="•"/>
      <w:lvlJc w:val="left"/>
      <w:pPr>
        <w:ind w:left="187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7">
      <w:start w:val="1"/>
      <w:numFmt w:val="bullet"/>
      <w:suff w:val="tab"/>
      <w:lvlText w:val="•"/>
      <w:lvlJc w:val="left"/>
      <w:pPr>
        <w:ind w:left="209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lvl w:ilvl="8">
      <w:start w:val="1"/>
      <w:numFmt w:val="bullet"/>
      <w:suff w:val="tab"/>
      <w:lvlText w:val="•"/>
      <w:lvlJc w:val="left"/>
      <w:pPr>
        <w:ind w:left="2318" w:hanging="338"/>
      </w:pPr>
      <w:rPr>
        <w:rFonts w:ascii="Verdana" w:cs="Verdana" w:hAnsi="Verdana" w:eastAsia="Verdana"/>
        <w:b w:val="0"/>
        <w:bCs w:val="0"/>
        <w:i w:val="1"/>
        <w:iCs w:val="1"/>
        <w:caps w:val="0"/>
        <w:smallCaps w:val="0"/>
        <w:strike w:val="0"/>
        <w:dstrike w:val="0"/>
        <w:outline w:val="0"/>
        <w:emboss w:val="0"/>
        <w:imprint w:val="0"/>
        <w:color w:val="000000"/>
        <w:spacing w:val="0"/>
        <w:w w:val="100"/>
        <w:kern w:val="0"/>
        <w:position w:val="-2"/>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720" w:hanging="500"/>
        </w:pPr>
        <w:rPr>
          <w:rFonts w:ascii="Verdana" w:cs="Verdana" w:hAnsi="Verdana" w:eastAsia="Verdana"/>
          <w:b w:val="1"/>
          <w:bCs w:val="1"/>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2">
      <w:lvl w:ilvl="2">
        <w:start w:val="1"/>
        <w:numFmt w:val="bullet"/>
        <w:suff w:val="tab"/>
        <w:lvlText w:val="•"/>
        <w:lvlJc w:val="left"/>
        <w:pPr>
          <w:ind w:left="9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3">
      <w:lvl w:ilvl="3">
        <w:start w:val="1"/>
        <w:numFmt w:val="bullet"/>
        <w:suff w:val="tab"/>
        <w:lvlText w:val="•"/>
        <w:lvlJc w:val="left"/>
        <w:pPr>
          <w:ind w:left="12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4">
      <w:lvl w:ilvl="4">
        <w:start w:val="1"/>
        <w:numFmt w:val="bullet"/>
        <w:suff w:val="tab"/>
        <w:lvlText w:val="•"/>
        <w:lvlJc w:val="left"/>
        <w:pPr>
          <w:ind w:left="143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5">
      <w:lvl w:ilvl="5">
        <w:start w:val="1"/>
        <w:numFmt w:val="bullet"/>
        <w:suff w:val="tab"/>
        <w:lvlText w:val="•"/>
        <w:lvlJc w:val="left"/>
        <w:pPr>
          <w:ind w:left="165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6">
      <w:lvl w:ilvl="6">
        <w:start w:val="1"/>
        <w:numFmt w:val="bullet"/>
        <w:suff w:val="tab"/>
        <w:lvlText w:val="•"/>
        <w:lvlJc w:val="left"/>
        <w:pPr>
          <w:ind w:left="187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7">
      <w:lvl w:ilvl="7">
        <w:start w:val="1"/>
        <w:numFmt w:val="bullet"/>
        <w:suff w:val="tab"/>
        <w:lvlText w:val="•"/>
        <w:lvlJc w:val="left"/>
        <w:pPr>
          <w:ind w:left="209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lvlOverride w:ilvl="8">
      <w:lvl w:ilvl="8">
        <w:start w:val="1"/>
        <w:numFmt w:val="bullet"/>
        <w:suff w:val="tab"/>
        <w:lvlText w:val="•"/>
        <w:lvlJc w:val="left"/>
        <w:pPr>
          <w:ind w:left="2318" w:hanging="338"/>
        </w:pPr>
        <w:rPr>
          <w:rFonts w:ascii="Verdana" w:cs="Verdana" w:hAnsi="Verdana" w:eastAsia="Verdana"/>
          <w:b w:val="1"/>
          <w:bCs w:val="1"/>
          <w:i w:val="0"/>
          <w:iCs w:val="0"/>
          <w:caps w:val="0"/>
          <w:smallCaps w:val="0"/>
          <w:strike w:val="0"/>
          <w:dstrike w:val="0"/>
          <w:outline w:val="0"/>
          <w:emboss w:val="0"/>
          <w:imprint w:val="0"/>
          <w:spacing w:val="0"/>
          <w:w w:val="100"/>
          <w:kern w:val="0"/>
          <w:position w:val="-2"/>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Table Style 2">
    <w:name w:val="Table Style 2"/>
    <w:next w:val="Table Style 2"/>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0"/>
      <w:szCs w:val="20"/>
      <w:u w:val="none"/>
      <w:shd w:val="nil" w:color="auto" w:fill="auto"/>
      <w:vertAlign w:val="baseline"/>
      <w14:textOutline>
        <w14:noFill/>
      </w14:textOutline>
      <w14:textFill>
        <w14:solidFill>
          <w14:srgbClr w14:val="000000"/>
        </w14:solidFill>
      </w14:textFill>
    </w:rPr>
  </w:style>
  <w:style w:type="character" w:styleId="None">
    <w:name w:val="None"/>
  </w:style>
  <w:style w:type="character" w:styleId="Hyperlink.0">
    <w:name w:val="Hyperlink.0"/>
    <w:basedOn w:val="None"/>
    <w:next w:val="Hyperlink.0"/>
    <w:rPr>
      <w:shd w:val="clear" w:color="auto" w:fill="ffffff"/>
    </w:rPr>
  </w:style>
  <w:style w:type="numbering" w:styleId="Bullet">
    <w:name w:val="Bullet"/>
    <w:pPr>
      <w:numPr>
        <w:numId w:val="1"/>
      </w:numPr>
    </w:pPr>
  </w:style>
  <w:style w:type="character" w:styleId="Hyperlink.1">
    <w:name w:val="Hyperlink.1"/>
    <w:basedOn w:val="None"/>
    <w:next w:val="Hyperlink.1"/>
    <w:rPr>
      <w:u w:color="1b05f2"/>
      <w:shd w:val="clear" w:color="auto" w:fill="ffffff"/>
    </w:rPr>
  </w:style>
  <w:style w:type="character" w:styleId="Hyperlink.2">
    <w:name w:val="Hyperlink.2"/>
    <w:basedOn w:val="None"/>
    <w:next w:val="Hyperlink.2"/>
    <w:rPr>
      <w:u w:color="0067d9"/>
    </w:rPr>
  </w:style>
  <w:style w:type="character" w:styleId="Hyperlink.3">
    <w:name w:val="Hyperlink.3"/>
    <w:basedOn w:val="None"/>
    <w:next w:val="Hyperlink.3"/>
    <w:rPr>
      <w:u w:color="1b05f2"/>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just" defTabSz="457200" rtl="0" fontAlgn="auto" latinLnBrk="0" hangingPunct="0">
          <a:lnSpc>
            <a:spcPct val="100000"/>
          </a:lnSpc>
          <a:spcBef>
            <a:spcPts val="0"/>
          </a:spcBef>
          <a:spcAft>
            <a:spcPts val="0"/>
          </a:spcAft>
          <a:buClrTx/>
          <a:buSzTx/>
          <a:buFontTx/>
          <a:buNone/>
          <a:tabLst/>
          <a:defRPr b="0" baseline="0" cap="none" i="0" spc="0" strike="noStrike" sz="900" u="none" kumimoji="0" normalizeH="0">
            <a:ln>
              <a:noFill/>
            </a:ln>
            <a:solidFill>
              <a:srgbClr val="000000"/>
            </a:solidFill>
            <a:effectLst/>
            <a:uFill>
              <a:solidFill>
                <a:srgbClr val="000000"/>
              </a:solidFill>
            </a:uFill>
            <a:latin typeface="Verdana"/>
            <a:ea typeface="Verdana"/>
            <a:cs typeface="Verdana"/>
            <a:sym typeface="Verdan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