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Press Release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Media Contacts: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fr-FR"/>
        </w:rPr>
        <w:t>IB Communications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00ff"/>
        </w:rPr>
      </w:pPr>
      <w:r>
        <w:rPr>
          <w:rFonts w:ascii="Verdana" w:hAnsi="Verdana"/>
          <w:sz w:val="18"/>
          <w:szCs w:val="18"/>
          <w:u w:color="0000ff"/>
          <w:rtl w:val="0"/>
        </w:rPr>
        <w:t>Tel</w:t>
      </w:r>
      <w:r>
        <w:rPr>
          <w:rFonts w:ascii="Verdana" w:hAnsi="Verdana" w:hint="default"/>
          <w:sz w:val="18"/>
          <w:szCs w:val="18"/>
          <w:u w:color="0000ff"/>
          <w:rtl w:val="0"/>
        </w:rPr>
        <w:t> </w:t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</w:rPr>
        <w:fldChar w:fldCharType="begin" w:fldLock="0"/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</w:rPr>
        <w:instrText xml:space="preserve"> HYPERLINK "tel:+44%20(0)20%2089434685"</w:instrText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</w:rPr>
        <w:fldChar w:fldCharType="separate" w:fldLock="0"/>
      </w:r>
      <w:r>
        <w:rPr>
          <w:rStyle w:val="Hyperlink.0"/>
          <w:rFonts w:ascii="Verdana" w:hAnsi="Verdana"/>
          <w:sz w:val="18"/>
          <w:szCs w:val="18"/>
          <w:u w:color="0000ff"/>
          <w:rtl w:val="0"/>
        </w:rPr>
        <w:t>+44 (0)20 89434685</w:t>
      </w:r>
      <w:r>
        <w:rPr>
          <w:rFonts w:ascii="Verdana" w:cs="Verdana" w:hAnsi="Verdana" w:eastAsia="Verdana"/>
          <w:sz w:val="18"/>
          <w:szCs w:val="18"/>
          <w:u w:color="0000ff"/>
        </w:rPr>
        <w:fldChar w:fldCharType="end" w:fldLock="0"/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00ff"/>
        </w:rPr>
      </w:pPr>
      <w:r>
        <w:rPr>
          <w:rStyle w:val="Hyperlink.0"/>
          <w:rFonts w:ascii="Verdana" w:cs="Verdana" w:hAnsi="Verdana" w:eastAsia="Verdana"/>
          <w:sz w:val="18"/>
          <w:szCs w:val="18"/>
          <w:u w:color="0000ff"/>
        </w:rPr>
        <w:fldChar w:fldCharType="begin" w:fldLock="0"/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</w:rPr>
        <w:instrText xml:space="preserve"> HYPERLINK "mailto:cellprothera@ibcomms.agency"</w:instrText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</w:rPr>
        <w:fldChar w:fldCharType="separate" w:fldLock="0"/>
      </w:r>
      <w:r>
        <w:rPr>
          <w:rStyle w:val="Hyperlink.0"/>
          <w:rFonts w:ascii="Verdana" w:hAnsi="Verdana"/>
          <w:sz w:val="18"/>
          <w:szCs w:val="18"/>
          <w:u w:color="0000ff"/>
          <w:rtl w:val="0"/>
          <w:lang w:val="en-US"/>
        </w:rPr>
        <w:t>cellprothera@ibcomms.agency</w:t>
      </w:r>
      <w:r>
        <w:rPr>
          <w:rFonts w:ascii="Verdana" w:cs="Verdana" w:hAnsi="Verdana" w:eastAsia="Verdana"/>
          <w:sz w:val="18"/>
          <w:szCs w:val="18"/>
          <w:u w:color="0000ff"/>
        </w:rPr>
        <w:fldChar w:fldCharType="end" w:fldLock="0"/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00ff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00ff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00ff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00ff"/>
        </w:rPr>
      </w:pP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CellProthera Signs MOU with Shonan Kamakura General Hospital for Use of StemXpand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 xml:space="preserve">® </w:t>
      </w: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in Japanese Stem Cell Clinical Trial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CellProthera will carry out technology transfer ahead of autologous CD34+ endothelial progenitor cell clinical trials planned by Dr. Takayuki Asahara and his team in 2025.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 xml:space="preserve">Mulhouse, France, December 12, 2024 </w:t>
      </w:r>
      <w:r>
        <w:rPr>
          <w:rFonts w:ascii="Verdana" w:hAnsi="Verdana" w:hint="default"/>
          <w:sz w:val="18"/>
          <w:szCs w:val="18"/>
          <w:rtl w:val="0"/>
        </w:rPr>
        <w:t xml:space="preserve">– </w:t>
      </w:r>
      <w:r>
        <w:rPr>
          <w:rStyle w:val="Hyperlink.1"/>
          <w:rFonts w:ascii="Verdana" w:cs="Verdana" w:hAnsi="Verdana" w:eastAsia="Verdana"/>
          <w:sz w:val="18"/>
          <w:szCs w:val="18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</w:rPr>
        <w:instrText xml:space="preserve"> HYPERLINK "https://tracking.vuelio.co.uk/tracking/click?d=0QLiMNnVJBZN7gwguzMGMpNbnd1uqdfroQ2fCo40aOQBhyk1DtUGGQIF1YcdXVWR0irK1dEpbogftSIMChIqNMhf6QsJH00-TDG3XbE_B2fsAHxx6-1e3O6Nvyq4j2gq5pU24YnPg8sIQ48P6MkTGpY1"</w:instrText>
      </w:r>
      <w:r>
        <w:rPr>
          <w:rStyle w:val="Hyperlink.1"/>
          <w:rFonts w:ascii="Verdana" w:cs="Verdana" w:hAnsi="Verdana" w:eastAsia="Verdana"/>
          <w:sz w:val="18"/>
          <w:szCs w:val="18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en-US"/>
        </w:rPr>
        <w:t>CellProthera</w:t>
      </w:r>
      <w:r>
        <w:rPr>
          <w:rFonts w:ascii="Verdana" w:cs="Verdana" w:hAnsi="Verdana" w:eastAsia="Verdana"/>
          <w:sz w:val="18"/>
          <w:szCs w:val="18"/>
        </w:rPr>
        <w:fldChar w:fldCharType="end" w:fldLock="0"/>
      </w:r>
      <w:r>
        <w:rPr>
          <w:rFonts w:ascii="Verdana" w:hAnsi="Verdana"/>
          <w:sz w:val="18"/>
          <w:szCs w:val="18"/>
          <w:rtl w:val="0"/>
          <w:lang w:val="en-US"/>
        </w:rPr>
        <w:t>, a regenerative cell therapy developer specializing in ischemic diseases, announced a new memorandum of understanding with Shonan Kamakura General Hospital (SKGH) to transfer technology that will enable GMP manufacturing of CD34+ endothelial progenitor cells (EPCs) for autologous therapy clinical trials. CellProthera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de-DE"/>
        </w:rPr>
        <w:t>s StemXpand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platform, which the company has validated in its own Phase 2 therapeutic trial, will be adopted by world-renowned stem cell expert Takayuki Asahara, M.D., Ph.D. for clinical trials at SKGH starting in 2025.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StemXpand is an automated, scalable platform to expand</w:t>
      </w:r>
      <w:r>
        <w:rPr>
          <w:rFonts w:ascii="Verdana" w:hAnsi="Verdana" w:hint="default"/>
          <w:sz w:val="18"/>
          <w:szCs w:val="18"/>
          <w:rtl w:val="0"/>
        </w:rPr>
        <w:t xml:space="preserve">  </w:t>
      </w:r>
      <w:r>
        <w:rPr>
          <w:rFonts w:ascii="Verdana" w:hAnsi="Verdana"/>
          <w:sz w:val="18"/>
          <w:szCs w:val="18"/>
          <w:rtl w:val="0"/>
          <w:lang w:val="en-US"/>
        </w:rPr>
        <w:t>CD34+ stem cells, which CellProthera has used in its recently completed Phase 2 clinical trial. The technology rapidly grows ex vivo a collection of naturally occurring, patient-derived cells into a therapeutic dose that has demonstrated efficacy across several endpoints in a Phase 2 study of heart failure prevention following acute myocardial infarction. The company further intends to use StemXpand as it scales up for a forthcoming Phase 3 trial.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The new memorandum of understanding was signed during a visit to CellProthera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corporate headquarters by Shuzo Kobayashi, M.D., Ph.D., CEO of SKGH and Dr. Asahara, who is Deputy Director of SKGH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Shonan Research Institute of Innovative Medicine. The SKGH team will be the first advanced therapy developers in Japan to utilize the latest version of StemXpand, for a clinical trial using CD34+ EPCs in patients with ischemic and renal diseases. CellProthera will provide training to the SKGH team as it adapts proc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720000</wp:posOffset>
            </wp:positionV>
            <wp:extent cx="1800001" cy="1080000"/>
            <wp:effectExtent l="0" t="0" r="0" b="0"/>
            <wp:wrapNone/>
            <wp:docPr id="1073741825" name="officeArt object" descr="IB COMMUNICATIUONS logo L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B COMMUNICATIUONS logo LR.jpg" descr="IB COMMUNICATIUONS logo L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1" cy="10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8"/>
          <w:szCs w:val="18"/>
          <w:rtl w:val="0"/>
          <w:lang w:val="en-US"/>
        </w:rPr>
        <w:t>esses to fit with StemXpand, and configure the automated technology to be compliant with Japanese regulatory requirements.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SKGH is part of the Tokushukai Medical Group, Japan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largest medical services group and the 12th largest in the world.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1"/>
          <w:lang w:val="ar-SA" w:bidi="ar-SA"/>
        </w:rPr>
        <w:t>“</w:t>
      </w:r>
      <w:r>
        <w:rPr>
          <w:rFonts w:ascii="Verdana" w:hAnsi="Verdana"/>
          <w:sz w:val="18"/>
          <w:szCs w:val="18"/>
          <w:rtl w:val="0"/>
          <w:lang w:val="en-US"/>
        </w:rPr>
        <w:t>StemXpand will be an invaluable enabling technology to advance our work,</w:t>
      </w:r>
      <w:r>
        <w:rPr>
          <w:rFonts w:ascii="Verdana" w:hAnsi="Verdana" w:hint="default"/>
          <w:sz w:val="18"/>
          <w:szCs w:val="18"/>
          <w:rtl w:val="0"/>
        </w:rPr>
        <w:t xml:space="preserve">” 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said Dr. Kobayashi. </w:t>
      </w:r>
      <w:r>
        <w:rPr>
          <w:rFonts w:ascii="Verdana" w:hAnsi="Verdana" w:hint="default"/>
          <w:sz w:val="18"/>
          <w:szCs w:val="18"/>
          <w:rtl w:val="1"/>
          <w:lang w:val="ar-SA" w:bidi="ar-SA"/>
        </w:rPr>
        <w:t>“</w:t>
      </w:r>
      <w:r>
        <w:rPr>
          <w:rFonts w:ascii="Verdana" w:hAnsi="Verdana"/>
          <w:sz w:val="18"/>
          <w:szCs w:val="18"/>
          <w:rtl w:val="0"/>
          <w:lang w:val="en-US"/>
        </w:rPr>
        <w:t>It is a more robust platform than our current technology that is both better adapted to our current needs and scalable for potential larger trials and commercialization in the future.</w:t>
      </w:r>
      <w:r>
        <w:rPr>
          <w:rFonts w:ascii="Verdana" w:hAnsi="Verdana" w:hint="default"/>
          <w:sz w:val="18"/>
          <w:szCs w:val="18"/>
          <w:rtl w:val="0"/>
        </w:rPr>
        <w:t>”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1"/>
          <w:lang w:val="ar-SA" w:bidi="ar-SA"/>
        </w:rPr>
        <w:t>“</w:t>
      </w:r>
      <w:r>
        <w:rPr>
          <w:rFonts w:ascii="Verdana" w:hAnsi="Verdana"/>
          <w:sz w:val="18"/>
          <w:szCs w:val="18"/>
          <w:rtl w:val="0"/>
          <w:lang w:val="en-US"/>
        </w:rPr>
        <w:t>This deepening of our relationship with Shonan Kamakura General Hospital marks an important milestone for the global expansion of stem cell-based regenerative medicines,</w:t>
      </w:r>
      <w:r>
        <w:rPr>
          <w:rFonts w:ascii="Verdana" w:hAnsi="Verdana" w:hint="default"/>
          <w:sz w:val="18"/>
          <w:szCs w:val="18"/>
          <w:rtl w:val="0"/>
        </w:rPr>
        <w:t xml:space="preserve">” 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said Matthieu de Kalbermatten, CEO of CellProthera. </w:t>
      </w:r>
      <w:r>
        <w:rPr>
          <w:rFonts w:ascii="Verdana" w:hAnsi="Verdana" w:hint="default"/>
          <w:sz w:val="18"/>
          <w:szCs w:val="18"/>
          <w:rtl w:val="1"/>
          <w:lang w:val="ar-SA" w:bidi="ar-SA"/>
        </w:rPr>
        <w:t>“</w:t>
      </w:r>
      <w:r>
        <w:rPr>
          <w:rFonts w:ascii="Verdana" w:hAnsi="Verdana"/>
          <w:sz w:val="18"/>
          <w:szCs w:val="18"/>
          <w:rtl w:val="0"/>
          <w:lang w:val="en-US"/>
        </w:rPr>
        <w:t>We thank Drs. Kobayashi and Asahara for their confidence in the StemXpand technology, and look forward to further demonstrations of its potential to make CD34+ cell therapies accessible to more patients worldwide.</w:t>
      </w:r>
      <w:r>
        <w:rPr>
          <w:rFonts w:ascii="Verdana" w:hAnsi="Verdana" w:hint="default"/>
          <w:sz w:val="18"/>
          <w:szCs w:val="18"/>
          <w:rtl w:val="0"/>
        </w:rPr>
        <w:t>”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The partners are preparing to transfer StemXpand and StemPack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equipment to Japan for on-site qualification and configuration ahead of clinical trials next year.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About CellProthera</w:t>
      </w:r>
    </w:p>
    <w:p>
      <w:pPr>
        <w:pStyle w:val="Table Style 2"/>
        <w:suppressAutoHyphens w:val="1"/>
        <w:jc w:val="both"/>
      </w:pPr>
      <w:r>
        <w:rPr>
          <w:rFonts w:ascii="Verdana" w:hAnsi="Verdana"/>
          <w:sz w:val="18"/>
          <w:szCs w:val="18"/>
          <w:rtl w:val="0"/>
          <w:lang w:val="en-US"/>
        </w:rPr>
        <w:t>CellProthera is a regenerative cell therapy developer specializing in cardiovascular diseases with a leading program in myocardial infarction. CellProthera has developed a unique GMP-compliant cell expansion process as well as a proprietary automation technology for in vitro production of a large quantity of purified, CD34+ stem cells. Its lead therapy ProtheraCytes</w:t>
      </w:r>
      <w:r>
        <w:rPr>
          <w:rFonts w:ascii="Verdana" w:hAnsi="Verdana" w:hint="default"/>
          <w:sz w:val="18"/>
          <w:szCs w:val="18"/>
          <w:rtl w:val="0"/>
        </w:rPr>
        <w:t>®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, is an autologous cell therapy developed for body regeneration and targeted to regenerate various damaged tissues, including cardiac tissue. ProtheraCytes is registered as an Advanced Therapy Medicinal Product </w:t>
      </w:r>
      <w:r>
        <w:rPr>
          <w:rFonts w:ascii="Verdana" w:hAnsi="Verdana" w:hint="default"/>
          <w:sz w:val="18"/>
          <w:szCs w:val="18"/>
          <w:rtl w:val="0"/>
        </w:rPr>
        <w:t xml:space="preserve">– </w:t>
      </w:r>
      <w:r>
        <w:rPr>
          <w:rFonts w:ascii="Verdana" w:hAnsi="Verdana"/>
          <w:sz w:val="18"/>
          <w:szCs w:val="18"/>
          <w:rtl w:val="0"/>
          <w:lang w:val="fr-FR"/>
        </w:rPr>
        <w:t xml:space="preserve">ATMP </w:t>
      </w:r>
      <w:r>
        <w:rPr>
          <w:rFonts w:ascii="Verdana" w:hAnsi="Verdana" w:hint="default"/>
          <w:sz w:val="18"/>
          <w:szCs w:val="18"/>
          <w:rtl w:val="0"/>
        </w:rPr>
        <w:t xml:space="preserve">– </w:t>
      </w:r>
      <w:r>
        <w:rPr>
          <w:rFonts w:ascii="Verdana" w:hAnsi="Verdana"/>
          <w:sz w:val="18"/>
          <w:szCs w:val="18"/>
          <w:rtl w:val="0"/>
          <w:lang w:val="en-US"/>
        </w:rPr>
        <w:t>by the European Medicines Agency (EMA). CellProthera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proprietary technology platform comprises an automated expansion device called StemXpand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and its single use kit StemPack</w:t>
      </w:r>
      <w:r>
        <w:rPr>
          <w:rFonts w:ascii="Verdana" w:hAnsi="Verdana" w:hint="default"/>
          <w:sz w:val="18"/>
          <w:szCs w:val="18"/>
          <w:rtl w:val="0"/>
        </w:rPr>
        <w:t>®</w:t>
      </w:r>
      <w:r>
        <w:rPr>
          <w:rFonts w:ascii="Verdana" w:hAnsi="Verdana"/>
          <w:sz w:val="18"/>
          <w:szCs w:val="18"/>
          <w:rtl w:val="0"/>
          <w:lang w:val="en-US"/>
        </w:rPr>
        <w:t>. CellProthera is headquartered in France.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b w:val="1"/>
      <w:bCs w:val="1"/>
      <w:u w:color="0067d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