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right"/>
        <w:rPr>
          <w:rFonts w:ascii="Verdana" w:cs="Verdana" w:hAnsi="Verdana" w:eastAsia="Verdana"/>
          <w:outline w:val="0"/>
          <w:color w:val="292929"/>
          <w:sz w:val="20"/>
          <w:szCs w:val="20"/>
          <w:u w:color="292929"/>
          <w:rtl w:val="0"/>
          <w:lang w:val="en-US"/>
          <w14:textFill>
            <w14:solidFill>
              <w14:srgbClr w14:val="292929"/>
            </w14:solidFill>
          </w14:textFill>
        </w:rPr>
      </w:pPr>
      <w:r>
        <w:rPr>
          <w:rFonts w:ascii="Verdana" w:hAnsi="Verdana"/>
          <w:b w:val="1"/>
          <w:bCs w:val="1"/>
          <w:outline w:val="0"/>
          <w:color w:val="292929"/>
          <w:sz w:val="18"/>
          <w:szCs w:val="18"/>
          <w:u w:color="000000"/>
          <w:rtl w:val="0"/>
          <w:lang w:val="en-US"/>
          <w14:textFill>
            <w14:solidFill>
              <w14:srgbClr w14:val="292929"/>
            </w14:solidFill>
          </w14:textFill>
        </w:rPr>
        <w:t>Press Release</w:t>
      </w:r>
    </w:p>
    <w:p>
      <w:pPr>
        <w:pStyle w:val="Default"/>
        <w:bidi w:val="0"/>
        <w:spacing w:before="0" w:line="240" w:lineRule="auto"/>
        <w:ind w:left="0" w:right="0" w:firstLine="0"/>
        <w:jc w:val="right"/>
        <w:rPr>
          <w:rFonts w:ascii="Verdana" w:cs="Verdana" w:hAnsi="Verdana" w:eastAsia="Verdana"/>
          <w:outline w:val="0"/>
          <w:color w:val="292929"/>
          <w:sz w:val="20"/>
          <w:szCs w:val="20"/>
          <w:u w:color="292929"/>
          <w:rtl w:val="0"/>
          <w:lang w:val="en-US"/>
          <w14:textFill>
            <w14:solidFill>
              <w14:srgbClr w14:val="292929"/>
            </w14:solidFill>
          </w14:textFill>
        </w:rPr>
      </w:pPr>
      <w:r>
        <w:rPr>
          <w:rFonts w:ascii="Verdana" w:hAnsi="Verdana"/>
          <w:b w:val="1"/>
          <w:bCs w:val="1"/>
          <w:outline w:val="0"/>
          <w:color w:val="292929"/>
          <w:sz w:val="18"/>
          <w:szCs w:val="18"/>
          <w:u w:color="000000"/>
          <w:rtl w:val="0"/>
          <w:lang w:val="en-US"/>
          <w14:textFill>
            <w14:solidFill>
              <w14:srgbClr w14:val="292929"/>
            </w14:solidFill>
          </w14:textFill>
        </w:rPr>
        <w:t>Media Contacts:</w:t>
      </w:r>
    </w:p>
    <w:p>
      <w:pPr>
        <w:pStyle w:val="Default"/>
        <w:bidi w:val="0"/>
        <w:spacing w:before="0" w:line="240" w:lineRule="auto"/>
        <w:ind w:left="0" w:right="0" w:firstLine="0"/>
        <w:jc w:val="right"/>
        <w:rPr>
          <w:rFonts w:ascii="Verdana" w:cs="Verdana" w:hAnsi="Verdana" w:eastAsia="Verdana"/>
          <w:outline w:val="0"/>
          <w:color w:val="292929"/>
          <w:sz w:val="20"/>
          <w:szCs w:val="20"/>
          <w:u w:color="292929"/>
          <w:rtl w:val="0"/>
          <w:lang w:val="en-US"/>
          <w14:textFill>
            <w14:solidFill>
              <w14:srgbClr w14:val="292929"/>
            </w14:solidFill>
          </w14:textFill>
        </w:rPr>
      </w:pPr>
      <w:r>
        <w:rPr>
          <w:rFonts w:ascii="Verdana" w:hAnsi="Verdana"/>
          <w:b w:val="1"/>
          <w:bCs w:val="1"/>
          <w:outline w:val="0"/>
          <w:color w:val="292929"/>
          <w:sz w:val="18"/>
          <w:szCs w:val="18"/>
          <w:u w:color="000000"/>
          <w:rtl w:val="0"/>
          <w:lang w:val="en-US"/>
          <w14:textFill>
            <w14:solidFill>
              <w14:srgbClr w14:val="292929"/>
            </w14:solidFill>
          </w14:textFill>
        </w:rPr>
        <w:t>IB Communications</w:t>
      </w:r>
    </w:p>
    <w:p>
      <w:pPr>
        <w:pStyle w:val="Default"/>
        <w:bidi w:val="0"/>
        <w:spacing w:before="0" w:line="240" w:lineRule="auto"/>
        <w:ind w:left="0" w:right="0" w:firstLine="0"/>
        <w:jc w:val="right"/>
        <w:rPr>
          <w:rFonts w:ascii="Verdana" w:cs="Verdana" w:hAnsi="Verdana" w:eastAsia="Verdana"/>
          <w:outline w:val="0"/>
          <w:color w:val="292929"/>
          <w:sz w:val="20"/>
          <w:szCs w:val="20"/>
          <w:u w:color="292929"/>
          <w:rtl w:val="0"/>
          <w:lang w:val="en-US"/>
          <w14:textFill>
            <w14:solidFill>
              <w14:srgbClr w14:val="292929"/>
            </w14:solidFill>
          </w14:textFill>
        </w:rPr>
      </w:pPr>
      <w:r>
        <w:rPr>
          <w:rFonts w:ascii="Verdana" w:hAnsi="Verdana"/>
          <w:outline w:val="0"/>
          <w:color w:val="292929"/>
          <w:sz w:val="18"/>
          <w:szCs w:val="18"/>
          <w:u w:color="000000"/>
          <w:rtl w:val="0"/>
          <w:lang w:val="en-US"/>
          <w14:textFill>
            <w14:solidFill>
              <w14:srgbClr w14:val="292929"/>
            </w14:solidFill>
          </w14:textFill>
        </w:rPr>
        <w:t>Tel</w:t>
      </w:r>
      <w:r>
        <w:rPr>
          <w:rFonts w:ascii="Verdana" w:hAnsi="Verdana" w:hint="default"/>
          <w:outline w:val="0"/>
          <w:color w:val="292929"/>
          <w:sz w:val="18"/>
          <w:szCs w:val="18"/>
          <w:u w:color="000000"/>
          <w:rtl w:val="0"/>
          <w:lang w:val="en-US"/>
          <w14:textFill>
            <w14:solidFill>
              <w14:srgbClr w14:val="292929"/>
            </w14:solidFill>
          </w14:textFill>
        </w:rPr>
        <w:t> </w:t>
      </w:r>
      <w:r>
        <w:rPr>
          <w:rStyle w:val="Hyperlink.0"/>
          <w:rFonts w:ascii="Verdana" w:cs="Verdana" w:hAnsi="Verdana" w:eastAsia="Verdana"/>
          <w:outline w:val="0"/>
          <w:color w:val="292929"/>
          <w:sz w:val="18"/>
          <w:szCs w:val="18"/>
          <w:u w:val="none" w:color="0000ff"/>
          <w:rtl w:val="0"/>
          <w:lang w:val="en-US"/>
          <w14:textFill>
            <w14:solidFill>
              <w14:srgbClr w14:val="292929"/>
            </w14:solidFill>
          </w14:textFill>
        </w:rPr>
        <w:fldChar w:fldCharType="begin" w:fldLock="0"/>
      </w:r>
      <w:r>
        <w:rPr>
          <w:rStyle w:val="Hyperlink.0"/>
          <w:rFonts w:ascii="Verdana" w:cs="Verdana" w:hAnsi="Verdana" w:eastAsia="Verdana"/>
          <w:outline w:val="0"/>
          <w:color w:val="292929"/>
          <w:sz w:val="18"/>
          <w:szCs w:val="18"/>
          <w:u w:val="none" w:color="0000ff"/>
          <w:rtl w:val="0"/>
          <w:lang w:val="en-US"/>
          <w14:textFill>
            <w14:solidFill>
              <w14:srgbClr w14:val="292929"/>
            </w14:solidFill>
          </w14:textFill>
        </w:rPr>
        <w:instrText xml:space="preserve"> HYPERLINK "tel:+44%20(0)20%2089434685"</w:instrText>
      </w:r>
      <w:r>
        <w:rPr>
          <w:rStyle w:val="Hyperlink.0"/>
          <w:rFonts w:ascii="Verdana" w:cs="Verdana" w:hAnsi="Verdana" w:eastAsia="Verdana"/>
          <w:outline w:val="0"/>
          <w:color w:val="292929"/>
          <w:sz w:val="18"/>
          <w:szCs w:val="18"/>
          <w:u w:val="none" w:color="0000ff"/>
          <w:rtl w:val="0"/>
          <w:lang w:val="en-US"/>
          <w14:textFill>
            <w14:solidFill>
              <w14:srgbClr w14:val="292929"/>
            </w14:solidFill>
          </w14:textFill>
        </w:rPr>
        <w:fldChar w:fldCharType="separate" w:fldLock="0"/>
      </w:r>
      <w:r>
        <w:rPr>
          <w:rStyle w:val="Hyperlink.0"/>
          <w:rFonts w:ascii="Verdana" w:hAnsi="Verdana"/>
          <w:outline w:val="0"/>
          <w:color w:val="292929"/>
          <w:sz w:val="18"/>
          <w:szCs w:val="18"/>
          <w:u w:val="none" w:color="0000ff"/>
          <w:rtl w:val="0"/>
          <w:lang w:val="en-US"/>
          <w14:textFill>
            <w14:solidFill>
              <w14:srgbClr w14:val="292929"/>
            </w14:solidFill>
          </w14:textFill>
        </w:rPr>
        <w:t>+44 (0)20 89434685</w:t>
      </w:r>
      <w:r>
        <w:rPr>
          <w:rFonts w:ascii="Verdana" w:cs="Verdana" w:hAnsi="Verdana" w:eastAsia="Verdana"/>
          <w:outline w:val="0"/>
          <w:color w:val="292929"/>
          <w:u w:color="000000"/>
          <w:rtl w:val="0"/>
          <w:lang w:val="en-US"/>
          <w14:textFill>
            <w14:solidFill>
              <w14:srgbClr w14:val="292929"/>
            </w14:solidFill>
          </w14:textFill>
        </w:rPr>
        <w:fldChar w:fldCharType="end" w:fldLock="0"/>
      </w:r>
    </w:p>
    <w:p>
      <w:pPr>
        <w:pStyle w:val="Default"/>
        <w:bidi w:val="0"/>
        <w:spacing w:before="0" w:line="240" w:lineRule="auto"/>
        <w:ind w:left="0" w:right="0" w:firstLine="0"/>
        <w:jc w:val="right"/>
        <w:rPr>
          <w:rFonts w:ascii="Verdana" w:cs="Verdana" w:hAnsi="Verdana" w:eastAsia="Verdana"/>
          <w:outline w:val="0"/>
          <w:color w:val="292929"/>
          <w:sz w:val="20"/>
          <w:szCs w:val="20"/>
          <w:u w:color="292929"/>
          <w:rtl w:val="0"/>
          <w:lang w:val="en-US"/>
          <w14:textFill>
            <w14:solidFill>
              <w14:srgbClr w14:val="292929"/>
            </w14:solidFill>
          </w14:textFill>
        </w:rPr>
      </w:pPr>
      <w:r>
        <w:rPr>
          <w:rStyle w:val="Hyperlink.0"/>
          <w:rFonts w:ascii="Verdana" w:cs="Verdana" w:hAnsi="Verdana" w:eastAsia="Verdana"/>
          <w:outline w:val="0"/>
          <w:color w:val="292929"/>
          <w:sz w:val="18"/>
          <w:szCs w:val="18"/>
          <w:u w:val="none" w:color="0000ff"/>
          <w:rtl w:val="0"/>
          <w:lang w:val="en-US"/>
          <w14:textFill>
            <w14:solidFill>
              <w14:srgbClr w14:val="292929"/>
            </w14:solidFill>
          </w14:textFill>
        </w:rPr>
        <w:fldChar w:fldCharType="begin" w:fldLock="0"/>
      </w:r>
      <w:r>
        <w:rPr>
          <w:rStyle w:val="Hyperlink.0"/>
          <w:rFonts w:ascii="Verdana" w:cs="Verdana" w:hAnsi="Verdana" w:eastAsia="Verdana"/>
          <w:outline w:val="0"/>
          <w:color w:val="292929"/>
          <w:sz w:val="18"/>
          <w:szCs w:val="18"/>
          <w:u w:val="none" w:color="0000ff"/>
          <w:rtl w:val="0"/>
          <w:lang w:val="en-US"/>
          <w14:textFill>
            <w14:solidFill>
              <w14:srgbClr w14:val="292929"/>
            </w14:solidFill>
          </w14:textFill>
        </w:rPr>
        <w:instrText xml:space="preserve"> HYPERLINK "mailto:biosenic@ibcomms.agency"</w:instrText>
      </w:r>
      <w:r>
        <w:rPr>
          <w:rStyle w:val="Hyperlink.0"/>
          <w:rFonts w:ascii="Verdana" w:cs="Verdana" w:hAnsi="Verdana" w:eastAsia="Verdana"/>
          <w:outline w:val="0"/>
          <w:color w:val="292929"/>
          <w:sz w:val="18"/>
          <w:szCs w:val="18"/>
          <w:u w:val="none" w:color="0000ff"/>
          <w:rtl w:val="0"/>
          <w:lang w:val="en-US"/>
          <w14:textFill>
            <w14:solidFill>
              <w14:srgbClr w14:val="292929"/>
            </w14:solidFill>
          </w14:textFill>
        </w:rPr>
        <w:fldChar w:fldCharType="separate" w:fldLock="0"/>
      </w:r>
      <w:r>
        <w:rPr>
          <w:rStyle w:val="Hyperlink.0"/>
          <w:rFonts w:ascii="Verdana" w:hAnsi="Verdana"/>
          <w:outline w:val="0"/>
          <w:color w:val="292929"/>
          <w:sz w:val="18"/>
          <w:szCs w:val="18"/>
          <w:u w:val="none" w:color="0000ff"/>
          <w:rtl w:val="0"/>
          <w:lang w:val="en-US"/>
          <w14:textFill>
            <w14:solidFill>
              <w14:srgbClr w14:val="292929"/>
            </w14:solidFill>
          </w14:textFill>
        </w:rPr>
        <w:t>biosenic@ibcomms.agency</w:t>
      </w:r>
      <w:r>
        <w:rPr>
          <w:rFonts w:ascii="Verdana" w:cs="Verdana" w:hAnsi="Verdana" w:eastAsia="Verdana"/>
          <w:outline w:val="0"/>
          <w:color w:val="292929"/>
          <w:u w:color="000000"/>
          <w:rtl w:val="0"/>
          <w:lang w:val="en-US"/>
          <w14:textFill>
            <w14:solidFill>
              <w14:srgbClr w14:val="292929"/>
            </w14:solidFill>
          </w14:textFill>
        </w:rPr>
        <w:fldChar w:fldCharType="end" w:fldLock="0"/>
      </w:r>
    </w:p>
    <w:p>
      <w:pPr>
        <w:pStyle w:val="Default"/>
        <w:bidi w:val="0"/>
        <w:spacing w:before="0" w:line="240" w:lineRule="auto"/>
        <w:ind w:left="0" w:right="0" w:firstLine="0"/>
        <w:jc w:val="right"/>
        <w:rPr>
          <w:rFonts w:ascii="Verdana" w:cs="Verdana" w:hAnsi="Verdana" w:eastAsia="Verdana"/>
          <w:outline w:val="0"/>
          <w:color w:val="292929"/>
          <w:sz w:val="20"/>
          <w:szCs w:val="20"/>
          <w:u w:color="292929"/>
          <w:rtl w:val="0"/>
          <w:lang w:val="en-US"/>
          <w14:textFill>
            <w14:solidFill>
              <w14:srgbClr w14:val="292929"/>
            </w14:solidFill>
          </w14:textFill>
        </w:rPr>
      </w:pPr>
    </w:p>
    <w:p>
      <w:pPr>
        <w:pStyle w:val="Default"/>
        <w:bidi w:val="0"/>
        <w:spacing w:before="0" w:line="240" w:lineRule="auto"/>
        <w:ind w:left="0" w:right="0" w:firstLine="0"/>
        <w:jc w:val="right"/>
        <w:rPr>
          <w:rFonts w:ascii="Verdana" w:cs="Verdana" w:hAnsi="Verdana" w:eastAsia="Verdana"/>
          <w:outline w:val="0"/>
          <w:color w:val="292929"/>
          <w:sz w:val="20"/>
          <w:szCs w:val="20"/>
          <w:u w:color="292929"/>
          <w:rtl w:val="0"/>
          <w:lang w:val="en-US"/>
          <w14:textFill>
            <w14:solidFill>
              <w14:srgbClr w14:val="292929"/>
            </w14:solidFill>
          </w14:textFill>
        </w:rPr>
      </w:pPr>
    </w:p>
    <w:p>
      <w:pPr>
        <w:pStyle w:val="Default"/>
        <w:bidi w:val="0"/>
        <w:spacing w:before="0" w:line="240" w:lineRule="auto"/>
        <w:ind w:left="0" w:right="0" w:firstLine="0"/>
        <w:jc w:val="right"/>
        <w:rPr>
          <w:rFonts w:ascii="Verdana" w:cs="Verdana" w:hAnsi="Verdana" w:eastAsia="Verdana"/>
          <w:outline w:val="0"/>
          <w:color w:val="292929"/>
          <w:sz w:val="20"/>
          <w:szCs w:val="20"/>
          <w:u w:color="292929"/>
          <w:rtl w:val="0"/>
          <w:lang w:val="en-US"/>
          <w14:textFill>
            <w14:solidFill>
              <w14:srgbClr w14:val="292929"/>
            </w14:solidFill>
          </w14:textFill>
        </w:rPr>
      </w:pPr>
    </w:p>
    <w:p>
      <w:pPr>
        <w:pStyle w:val="Default"/>
        <w:bidi w:val="0"/>
        <w:spacing w:before="0" w:line="240" w:lineRule="auto"/>
        <w:ind w:left="0" w:right="0" w:firstLine="0"/>
        <w:jc w:val="right"/>
        <w:rPr>
          <w:rFonts w:ascii="Verdana" w:cs="Verdana" w:hAnsi="Verdana" w:eastAsia="Verdana"/>
          <w:outline w:val="0"/>
          <w:color w:val="292929"/>
          <w:sz w:val="20"/>
          <w:szCs w:val="20"/>
          <w:u w:color="292929"/>
          <w:rtl w:val="0"/>
          <w:lang w:val="en-US"/>
          <w14:textFill>
            <w14:solidFill>
              <w14:srgbClr w14:val="292929"/>
            </w14:solidFill>
          </w14:textFill>
        </w:rPr>
      </w:pPr>
    </w:p>
    <w:p>
      <w:pPr>
        <w:pStyle w:val="Default"/>
        <w:bidi w:val="0"/>
        <w:spacing w:before="0" w:line="240" w:lineRule="auto"/>
        <w:ind w:left="0" w:right="0" w:firstLine="0"/>
        <w:jc w:val="both"/>
        <w:rPr>
          <w:rFonts w:ascii="Verdana" w:cs="Verdana" w:hAnsi="Verdana" w:eastAsia="Verdana"/>
          <w:outline w:val="0"/>
          <w:color w:val="292929"/>
          <w:sz w:val="20"/>
          <w:szCs w:val="20"/>
          <w:u w:color="292929"/>
          <w:rtl w:val="0"/>
          <w:lang w:val="en-US"/>
          <w14:textFill>
            <w14:solidFill>
              <w14:srgbClr w14:val="292929"/>
            </w14:solidFill>
          </w14:textFill>
        </w:rPr>
      </w:pPr>
    </w:p>
    <w:p>
      <w:pPr>
        <w:pStyle w:val="Default"/>
        <w:bidi w:val="0"/>
        <w:spacing w:before="0" w:line="240" w:lineRule="auto"/>
        <w:ind w:left="0" w:right="0" w:firstLine="0"/>
        <w:jc w:val="both"/>
        <w:rPr>
          <w:rFonts w:ascii="Verdana" w:cs="Verdana" w:hAnsi="Verdana" w:eastAsia="Verdana"/>
          <w:outline w:val="0"/>
          <w:color w:val="292929"/>
          <w:sz w:val="20"/>
          <w:szCs w:val="20"/>
          <w:u w:color="292929"/>
          <w:rtl w:val="0"/>
          <w:lang w:val="en-US"/>
          <w14:textFill>
            <w14:solidFill>
              <w14:srgbClr w14:val="292929"/>
            </w14:solidFill>
          </w14:textFill>
        </w:rPr>
      </w:pPr>
      <w:r>
        <w:rPr>
          <w:rFonts w:ascii="Verdana" w:hAnsi="Verdana"/>
          <w:b w:val="1"/>
          <w:bCs w:val="1"/>
          <w:outline w:val="0"/>
          <w:color w:val="292929"/>
          <w:sz w:val="22"/>
          <w:szCs w:val="22"/>
          <w:u w:color="000000"/>
          <w:shd w:val="clear" w:color="auto" w:fill="ffffff"/>
          <w:rtl w:val="0"/>
          <w:lang w:val="en-US"/>
          <w14:textFill>
            <w14:solidFill>
              <w14:srgbClr w14:val="292929"/>
            </w14:solidFill>
          </w14:textFill>
        </w:rPr>
        <w:t>BioSenic provides further information on its restructuring plan</w:t>
      </w:r>
      <w:r>
        <w:rPr>
          <w:rFonts w:ascii="Verdana" w:hAnsi="Verdana" w:hint="default"/>
          <w:b w:val="1"/>
          <w:bCs w:val="1"/>
          <w:outline w:val="0"/>
          <w:color w:val="292929"/>
          <w:sz w:val="22"/>
          <w:szCs w:val="22"/>
          <w:u w:color="000000"/>
          <w:shd w:val="clear" w:color="auto" w:fill="ffffff"/>
          <w:rtl w:val="0"/>
          <w:lang w:val="en-US"/>
          <w14:textFill>
            <w14:solidFill>
              <w14:srgbClr w14:val="292929"/>
            </w14:solidFill>
          </w14:textFill>
        </w:rPr>
        <w:t> </w:t>
      </w:r>
    </w:p>
    <w:p>
      <w:pPr>
        <w:pStyle w:val="Default"/>
        <w:bidi w:val="0"/>
        <w:spacing w:before="0" w:line="240" w:lineRule="auto"/>
        <w:ind w:left="0" w:right="0" w:firstLine="0"/>
        <w:jc w:val="both"/>
        <w:rPr>
          <w:rFonts w:ascii="Verdana" w:cs="Verdana" w:hAnsi="Verdana" w:eastAsia="Verdana"/>
          <w:outline w:val="0"/>
          <w:color w:val="292929"/>
          <w:sz w:val="20"/>
          <w:szCs w:val="20"/>
          <w:u w:color="292929"/>
          <w:rtl w:val="0"/>
          <w:lang w:val="en-US"/>
          <w14:textFill>
            <w14:solidFill>
              <w14:srgbClr w14:val="292929"/>
            </w14:solidFill>
          </w14:textFill>
        </w:rPr>
      </w:pPr>
    </w:p>
    <w:p>
      <w:pPr>
        <w:pStyle w:val="Default"/>
        <w:bidi w:val="0"/>
        <w:spacing w:before="0" w:line="240" w:lineRule="auto"/>
        <w:ind w:left="0" w:right="0" w:firstLine="0"/>
        <w:jc w:val="both"/>
        <w:rPr>
          <w:rFonts w:ascii="Verdana" w:cs="Verdana" w:hAnsi="Verdana" w:eastAsia="Verdana"/>
          <w:outline w:val="0"/>
          <w:color w:val="292929"/>
          <w:sz w:val="20"/>
          <w:szCs w:val="20"/>
          <w:u w:color="292929"/>
          <w:rtl w:val="0"/>
          <w:lang w:val="en-US"/>
          <w14:textFill>
            <w14:solidFill>
              <w14:srgbClr w14:val="292929"/>
            </w14:solidFill>
          </w14:textFill>
        </w:rPr>
      </w:pPr>
      <w:r>
        <w:rPr>
          <w:rFonts w:ascii="Verdana" w:hAnsi="Verdana"/>
          <w:b w:val="1"/>
          <w:bCs w:val="1"/>
          <w:outline w:val="0"/>
          <w:color w:val="292929"/>
          <w:sz w:val="18"/>
          <w:szCs w:val="18"/>
          <w:u w:color="000000"/>
          <w:rtl w:val="0"/>
          <w:lang w:val="en-US"/>
          <w14:textFill>
            <w14:solidFill>
              <w14:srgbClr w14:val="292929"/>
            </w14:solidFill>
          </w14:textFill>
        </w:rPr>
        <w:t xml:space="preserve">Mont-Saint-Guibert, Belgium, 12 April 2024 </w:t>
      </w:r>
      <w:r>
        <w:rPr>
          <w:rFonts w:ascii="Verdana" w:hAnsi="Verdana" w:hint="default"/>
          <w:b w:val="1"/>
          <w:bCs w:val="1"/>
          <w:outline w:val="0"/>
          <w:color w:val="292929"/>
          <w:sz w:val="18"/>
          <w:szCs w:val="18"/>
          <w:u w:color="000000"/>
          <w:rtl w:val="0"/>
          <w:lang w:val="en-US"/>
          <w14:textFill>
            <w14:solidFill>
              <w14:srgbClr w14:val="292929"/>
            </w14:solidFill>
          </w14:textFill>
        </w:rPr>
        <w:t>–</w:t>
      </w:r>
      <w:r>
        <w:rPr>
          <w:rFonts w:ascii="Verdana" w:hAnsi="Verdana" w:hint="default"/>
          <w:b w:val="1"/>
          <w:bCs w:val="1"/>
          <w:outline w:val="0"/>
          <w:color w:val="292929"/>
          <w:sz w:val="18"/>
          <w:szCs w:val="18"/>
          <w:u w:color="292929"/>
          <w:rtl w:val="0"/>
          <w:lang w:val="en-US"/>
          <w14:textFill>
            <w14:solidFill>
              <w14:srgbClr w14:val="292929"/>
            </w14:solidFill>
          </w14:textFill>
        </w:rPr>
        <w:t> </w:t>
      </w:r>
      <w:r>
        <w:rPr>
          <w:rFonts w:ascii="Verdana" w:hAnsi="Verdana"/>
          <w:b w:val="1"/>
          <w:bCs w:val="1"/>
          <w:outline w:val="0"/>
          <w:color w:val="292929"/>
          <w:sz w:val="18"/>
          <w:szCs w:val="18"/>
          <w:u w:color="000000"/>
          <w:rtl w:val="0"/>
          <w:lang w:val="en-US"/>
          <w14:textFill>
            <w14:solidFill>
              <w14:srgbClr w14:val="292929"/>
            </w14:solidFill>
          </w14:textFill>
        </w:rPr>
        <w:t>BioSenic</w:t>
      </w:r>
      <w:r>
        <w:rPr>
          <w:rFonts w:ascii="Verdana" w:hAnsi="Verdana" w:hint="default"/>
          <w:b w:val="1"/>
          <w:bCs w:val="1"/>
          <w:outline w:val="0"/>
          <w:color w:val="292929"/>
          <w:sz w:val="18"/>
          <w:szCs w:val="18"/>
          <w:u w:color="0000ff"/>
          <w:rtl w:val="0"/>
          <w:lang w:val="en-US"/>
          <w14:textFill>
            <w14:solidFill>
              <w14:srgbClr w14:val="292929"/>
            </w14:solidFill>
          </w14:textFill>
        </w:rPr>
        <w:t> </w:t>
      </w:r>
      <w:r>
        <w:rPr>
          <w:rFonts w:ascii="Verdana" w:hAnsi="Verdana"/>
          <w:b w:val="1"/>
          <w:bCs w:val="1"/>
          <w:outline w:val="0"/>
          <w:color w:val="292929"/>
          <w:sz w:val="18"/>
          <w:szCs w:val="18"/>
          <w:u w:color="000000"/>
          <w:rtl w:val="0"/>
          <w:lang w:val="en-US"/>
          <w14:textFill>
            <w14:solidFill>
              <w14:srgbClr w14:val="292929"/>
            </w14:solidFill>
          </w14:textFill>
        </w:rPr>
        <w:t>(Euronext Brussels and Paris: BIOS),</w:t>
      </w:r>
      <w:r>
        <w:rPr>
          <w:rFonts w:ascii="Verdana" w:hAnsi="Verdana" w:hint="default"/>
          <w:b w:val="1"/>
          <w:bCs w:val="1"/>
          <w:outline w:val="0"/>
          <w:color w:val="292929"/>
          <w:sz w:val="18"/>
          <w:szCs w:val="18"/>
          <w:u w:color="000000"/>
          <w:rtl w:val="0"/>
          <w:lang w:val="en-US"/>
          <w14:textFill>
            <w14:solidFill>
              <w14:srgbClr w14:val="292929"/>
            </w14:solidFill>
          </w14:textFill>
        </w:rPr>
        <w:t> </w:t>
      </w:r>
      <w:r>
        <w:rPr>
          <w:rFonts w:ascii="Verdana" w:hAnsi="Verdana"/>
          <w:outline w:val="0"/>
          <w:color w:val="292929"/>
          <w:sz w:val="18"/>
          <w:szCs w:val="18"/>
          <w:u w:color="000000"/>
          <w:rtl w:val="0"/>
          <w:lang w:val="en-US"/>
          <w14:textFill>
            <w14:solidFill>
              <w14:srgbClr w14:val="292929"/>
            </w14:solidFill>
          </w14:textFill>
        </w:rPr>
        <w:t>the clinical-stage company specializing in serious autoimmune and inflammatory diseases and cell therapy, as part of the global restructuring plan announced on 11 April 2024, provides information on (i) the Company's current debt position and the potential impact of the plan on this position and (ii) links to the Company's website to consult the conversion terms and conditions offered to holders of convertible bonds (excluding Global Tech Opportunities 15) as part of the plan.</w:t>
      </w:r>
      <w:r>
        <w:rPr>
          <w:rFonts w:ascii="Verdana" w:hAnsi="Verdana" w:hint="default"/>
          <w:outline w:val="0"/>
          <w:color w:val="292929"/>
          <w:sz w:val="18"/>
          <w:szCs w:val="18"/>
          <w:u w:color="000000"/>
          <w:rtl w:val="0"/>
          <w:lang w:val="en-US"/>
          <w14:textFill>
            <w14:solidFill>
              <w14:srgbClr w14:val="292929"/>
            </w14:solidFill>
          </w14:textFill>
        </w:rPr>
        <w:t> </w:t>
      </w:r>
    </w:p>
    <w:p>
      <w:pPr>
        <w:pStyle w:val="Default"/>
        <w:bidi w:val="0"/>
        <w:spacing w:before="0" w:line="240" w:lineRule="auto"/>
        <w:ind w:left="0" w:right="0" w:firstLine="0"/>
        <w:jc w:val="both"/>
        <w:rPr>
          <w:rFonts w:ascii="Verdana" w:cs="Verdana" w:hAnsi="Verdana" w:eastAsia="Verdana"/>
          <w:outline w:val="0"/>
          <w:color w:val="292929"/>
          <w:sz w:val="20"/>
          <w:szCs w:val="20"/>
          <w:u w:color="292929"/>
          <w:rtl w:val="0"/>
          <w:lang w:val="en-US"/>
          <w14:textFill>
            <w14:solidFill>
              <w14:srgbClr w14:val="292929"/>
            </w14:solidFill>
          </w14:textFill>
        </w:rPr>
      </w:pPr>
    </w:p>
    <w:p>
      <w:pPr>
        <w:pStyle w:val="Default"/>
        <w:bidi w:val="0"/>
        <w:spacing w:before="0" w:line="240" w:lineRule="auto"/>
        <w:ind w:left="0" w:right="0" w:firstLine="0"/>
        <w:jc w:val="both"/>
        <w:rPr>
          <w:rFonts w:ascii="Verdana" w:cs="Verdana" w:hAnsi="Verdana" w:eastAsia="Verdana"/>
          <w:outline w:val="0"/>
          <w:color w:val="292929"/>
          <w:sz w:val="18"/>
          <w:szCs w:val="18"/>
          <w:u w:color="000000"/>
          <w:rtl w:val="0"/>
          <w:lang w:val="en-US"/>
          <w14:textFill>
            <w14:solidFill>
              <w14:srgbClr w14:val="292929"/>
            </w14:solidFill>
          </w14:textFill>
        </w:rPr>
      </w:pPr>
      <w:r>
        <w:rPr>
          <w:rFonts w:ascii="Verdana" w:hAnsi="Verdana"/>
          <w:outline w:val="0"/>
          <w:color w:val="292929"/>
          <w:sz w:val="18"/>
          <w:szCs w:val="18"/>
          <w:u w:color="000000"/>
          <w:rtl w:val="0"/>
          <w:lang w:val="en-US"/>
          <w14:textFill>
            <w14:solidFill>
              <w14:srgbClr w14:val="292929"/>
            </w14:solidFill>
          </w14:textFill>
        </w:rPr>
        <w:t>The impact that the global restructuring plan could h</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outline w:val="0"/>
          <w:color w:val="292929"/>
          <w:sz w:val="18"/>
          <w:szCs w:val="18"/>
          <w:u w:color="000000"/>
          <w:rtl w:val="0"/>
          <w:lang w:val="en-US"/>
          <w14:textFill>
            <w14:solidFill>
              <w14:srgbClr w14:val="292929"/>
            </w14:solidFill>
          </w14:textFill>
        </w:rPr>
        <w:t>ave on BioSenic's debt position is as follows:</w:t>
      </w:r>
      <w:r>
        <w:rPr>
          <w:rFonts w:ascii="Verdana" w:hAnsi="Verdana" w:hint="default"/>
          <w:outline w:val="0"/>
          <w:color w:val="292929"/>
          <w:sz w:val="18"/>
          <w:szCs w:val="18"/>
          <w:u w:color="000000"/>
          <w:rtl w:val="0"/>
          <w:lang w:val="en-US"/>
          <w14:textFill>
            <w14:solidFill>
              <w14:srgbClr w14:val="292929"/>
            </w14:solidFill>
          </w14:textFill>
        </w:rPr>
        <w:t> </w:t>
      </w:r>
    </w:p>
    <w:p>
      <w:pPr>
        <w:pStyle w:val="Default"/>
        <w:bidi w:val="0"/>
        <w:spacing w:before="0" w:line="240" w:lineRule="auto"/>
        <w:ind w:left="0" w:right="0" w:firstLine="0"/>
        <w:jc w:val="both"/>
        <w:rPr>
          <w:rFonts w:ascii="Verdana" w:cs="Verdana" w:hAnsi="Verdana" w:eastAsia="Verdana"/>
          <w:outline w:val="0"/>
          <w:color w:val="292929"/>
          <w:sz w:val="20"/>
          <w:szCs w:val="20"/>
          <w:u w:color="292929"/>
          <w:rtl w:val="0"/>
          <w:lang w:val="en-US"/>
          <w14:textFill>
            <w14:solidFill>
              <w14:srgbClr w14:val="292929"/>
            </w14:solidFill>
          </w14:textFill>
        </w:rPr>
      </w:pPr>
    </w:p>
    <w:tbl>
      <w:tblPr>
        <w:tblW w:w="897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244"/>
        <w:gridCol w:w="2243"/>
        <w:gridCol w:w="2240"/>
        <w:gridCol w:w="2247"/>
      </w:tblGrid>
      <w:tr>
        <w:tblPrEx>
          <w:shd w:val="clear" w:color="auto" w:fill="cdd4e9"/>
        </w:tblPrEx>
        <w:trPr>
          <w:trHeight w:val="245" w:hRule="atLeast"/>
        </w:trPr>
        <w:tc>
          <w:tcPr>
            <w:tcW w:type="dxa" w:w="2244"/>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80"/>
              <w:bottom w:type="dxa" w:w="80"/>
              <w:right w:type="dxa" w:w="80"/>
            </w:tcMar>
            <w:vAlign w:val="top"/>
          </w:tcPr>
          <w:p/>
        </w:tc>
        <w:tc>
          <w:tcPr>
            <w:tcW w:type="dxa" w:w="2243"/>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outline w:val="0"/>
                <w:color w:val="292929"/>
                <w:sz w:val="16"/>
                <w:szCs w:val="16"/>
                <w:u w:color="292929"/>
                <w:shd w:val="nil" w:color="auto" w:fill="auto"/>
                <w:rtl w:val="0"/>
                <w:lang w:val="en-US"/>
                <w14:textFill>
                  <w14:solidFill>
                    <w14:srgbClr w14:val="292929"/>
                  </w14:solidFill>
                </w14:textFill>
              </w:rPr>
              <w:t>Due</w:t>
            </w:r>
          </w:p>
        </w:tc>
        <w:tc>
          <w:tcPr>
            <w:tcW w:type="dxa" w:w="2240"/>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outline w:val="0"/>
                <w:color w:val="292929"/>
                <w:sz w:val="16"/>
                <w:szCs w:val="16"/>
                <w:u w:color="292929"/>
                <w:shd w:val="nil" w:color="auto" w:fill="auto"/>
                <w:rtl w:val="0"/>
                <w:lang w:val="en-US"/>
                <w14:textFill>
                  <w14:solidFill>
                    <w14:srgbClr w14:val="292929"/>
                  </w14:solidFill>
                </w14:textFill>
              </w:rPr>
              <w:t>Paid within 5 years</w:t>
            </w:r>
          </w:p>
        </w:tc>
        <w:tc>
          <w:tcPr>
            <w:tcW w:type="dxa" w:w="2247"/>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outline w:val="0"/>
                <w:color w:val="292929"/>
                <w:sz w:val="16"/>
                <w:szCs w:val="16"/>
                <w:u w:color="292929"/>
                <w:shd w:val="nil" w:color="auto" w:fill="auto"/>
                <w:rtl w:val="0"/>
                <w:lang w:val="en-US"/>
                <w14:textFill>
                  <w14:solidFill>
                    <w14:srgbClr w14:val="292929"/>
                  </w14:solidFill>
                </w14:textFill>
              </w:rPr>
              <w:t>31/12/2030+24 months</w:t>
            </w:r>
          </w:p>
        </w:tc>
      </w:tr>
      <w:tr>
        <w:tblPrEx>
          <w:shd w:val="clear" w:color="auto" w:fill="cdd4e9"/>
        </w:tblPrEx>
        <w:trPr>
          <w:trHeight w:val="228" w:hRule="atLeast"/>
        </w:trPr>
        <w:tc>
          <w:tcPr>
            <w:tcW w:type="dxa" w:w="2244"/>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outline w:val="0"/>
                <w:color w:val="292929"/>
                <w:sz w:val="16"/>
                <w:szCs w:val="16"/>
                <w:u w:color="292929"/>
                <w:shd w:val="nil" w:color="auto" w:fill="auto"/>
                <w:rtl w:val="0"/>
                <w:lang w:val="en-US"/>
                <w14:textFill>
                  <w14:solidFill>
                    <w14:srgbClr w14:val="292929"/>
                  </w14:solidFill>
                </w14:textFill>
              </w:rPr>
              <w:t>Extraordinary lease</w:t>
            </w:r>
          </w:p>
        </w:tc>
        <w:tc>
          <w:tcPr>
            <w:tcW w:type="dxa" w:w="2243"/>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61.211,77</w:t>
            </w:r>
          </w:p>
        </w:tc>
        <w:tc>
          <w:tcPr>
            <w:tcW w:type="dxa" w:w="2240"/>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61.211,77</w:t>
            </w:r>
          </w:p>
        </w:tc>
        <w:tc>
          <w:tcPr>
            <w:tcW w:type="dxa" w:w="2247"/>
            <w:tcBorders>
              <w:top w:val="single" w:color="000000" w:sz="18"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210" w:hRule="atLeast"/>
        </w:trPr>
        <w:tc>
          <w:tcPr>
            <w:tcW w:type="dxa" w:w="224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outline w:val="0"/>
                <w:color w:val="292929"/>
                <w:sz w:val="16"/>
                <w:szCs w:val="16"/>
                <w:u w:color="292929"/>
                <w:shd w:val="nil" w:color="auto" w:fill="auto"/>
                <w:rtl w:val="0"/>
                <w:lang w:val="en-US"/>
                <w14:textFill>
                  <w14:solidFill>
                    <w14:srgbClr w14:val="292929"/>
                  </w14:solidFill>
                </w14:textFill>
              </w:rPr>
              <w:t>Ordinary</w:t>
            </w:r>
          </w:p>
        </w:tc>
        <w:tc>
          <w:tcPr>
            <w:tcW w:type="dxa" w:w="2243"/>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2.750.655,64</w:t>
            </w:r>
          </w:p>
        </w:tc>
        <w:tc>
          <w:tcPr>
            <w:tcW w:type="dxa" w:w="22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137.532,78</w:t>
            </w:r>
          </w:p>
        </w:tc>
        <w:tc>
          <w:tcPr>
            <w:tcW w:type="dxa" w:w="224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10" w:hRule="atLeast"/>
        </w:trPr>
        <w:tc>
          <w:tcPr>
            <w:tcW w:type="dxa" w:w="224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outline w:val="0"/>
                <w:color w:val="292929"/>
                <w:sz w:val="16"/>
                <w:szCs w:val="16"/>
                <w:u w:color="292929"/>
                <w:shd w:val="nil" w:color="auto" w:fill="auto"/>
                <w:rtl w:val="0"/>
                <w:lang w:val="en-US"/>
                <w14:textFill>
                  <w14:solidFill>
                    <w14:srgbClr w14:val="292929"/>
                  </w14:solidFill>
                </w14:textFill>
              </w:rPr>
              <w:t>Strategic</w:t>
            </w:r>
          </w:p>
        </w:tc>
        <w:tc>
          <w:tcPr>
            <w:tcW w:type="dxa" w:w="2243"/>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223.869,65</w:t>
            </w:r>
          </w:p>
        </w:tc>
        <w:tc>
          <w:tcPr>
            <w:tcW w:type="dxa" w:w="22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201.482,69</w:t>
            </w:r>
          </w:p>
        </w:tc>
        <w:tc>
          <w:tcPr>
            <w:tcW w:type="dxa" w:w="224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210" w:hRule="atLeast"/>
        </w:trPr>
        <w:tc>
          <w:tcPr>
            <w:tcW w:type="dxa" w:w="224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outline w:val="0"/>
                <w:color w:val="292929"/>
                <w:sz w:val="16"/>
                <w:szCs w:val="16"/>
                <w:u w:color="292929"/>
                <w:shd w:val="nil" w:color="auto" w:fill="auto"/>
                <w:rtl w:val="0"/>
                <w:lang w:val="en-US"/>
                <w14:textFill>
                  <w14:solidFill>
                    <w14:srgbClr w14:val="292929"/>
                  </w14:solidFill>
                </w14:textFill>
              </w:rPr>
              <w:t>Accessories employee</w:t>
            </w:r>
          </w:p>
        </w:tc>
        <w:tc>
          <w:tcPr>
            <w:tcW w:type="dxa" w:w="2243"/>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8.736,45</w:t>
            </w:r>
          </w:p>
        </w:tc>
        <w:tc>
          <w:tcPr>
            <w:tcW w:type="dxa" w:w="22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8.649,09</w:t>
            </w:r>
          </w:p>
        </w:tc>
        <w:tc>
          <w:tcPr>
            <w:tcW w:type="dxa" w:w="224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10" w:hRule="atLeast"/>
        </w:trPr>
        <w:tc>
          <w:tcPr>
            <w:tcW w:type="dxa" w:w="224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outline w:val="0"/>
                <w:color w:val="292929"/>
                <w:sz w:val="16"/>
                <w:szCs w:val="16"/>
                <w:u w:color="292929"/>
                <w:shd w:val="nil" w:color="auto" w:fill="auto"/>
                <w:rtl w:val="0"/>
                <w:lang w:val="en-US"/>
                <w14:textFill>
                  <w14:solidFill>
                    <w14:srgbClr w14:val="292929"/>
                  </w14:solidFill>
                </w14:textFill>
              </w:rPr>
              <w:t>Interco</w:t>
            </w:r>
          </w:p>
        </w:tc>
        <w:tc>
          <w:tcPr>
            <w:tcW w:type="dxa" w:w="2243"/>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8.736,45</w:t>
            </w:r>
          </w:p>
        </w:tc>
        <w:tc>
          <w:tcPr>
            <w:tcW w:type="dxa" w:w="22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436,82</w:t>
            </w:r>
          </w:p>
        </w:tc>
        <w:tc>
          <w:tcPr>
            <w:tcW w:type="dxa" w:w="224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210" w:hRule="atLeast"/>
        </w:trPr>
        <w:tc>
          <w:tcPr>
            <w:tcW w:type="dxa" w:w="224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outline w:val="0"/>
                <w:color w:val="292929"/>
                <w:sz w:val="16"/>
                <w:szCs w:val="16"/>
                <w:u w:color="292929"/>
                <w:shd w:val="nil" w:color="auto" w:fill="auto"/>
                <w:rtl w:val="0"/>
                <w:lang w:val="en-US"/>
                <w14:textFill>
                  <w14:solidFill>
                    <w14:srgbClr w14:val="292929"/>
                  </w14:solidFill>
                </w14:textFill>
              </w:rPr>
              <w:t>Very useful</w:t>
            </w:r>
          </w:p>
        </w:tc>
        <w:tc>
          <w:tcPr>
            <w:tcW w:type="dxa" w:w="2243"/>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344.209,67</w:t>
            </w:r>
          </w:p>
        </w:tc>
        <w:tc>
          <w:tcPr>
            <w:tcW w:type="dxa" w:w="22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172.104,84</w:t>
            </w:r>
          </w:p>
        </w:tc>
        <w:tc>
          <w:tcPr>
            <w:tcW w:type="dxa" w:w="224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10" w:hRule="atLeast"/>
        </w:trPr>
        <w:tc>
          <w:tcPr>
            <w:tcW w:type="dxa" w:w="224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outline w:val="0"/>
                <w:color w:val="292929"/>
                <w:sz w:val="16"/>
                <w:szCs w:val="16"/>
                <w:u w:color="292929"/>
                <w:shd w:val="nil" w:color="auto" w:fill="auto"/>
                <w:rtl w:val="0"/>
                <w:lang w:val="en-US"/>
                <w14:textFill>
                  <w14:solidFill>
                    <w14:srgbClr w14:val="292929"/>
                  </w14:solidFill>
                </w14:textFill>
              </w:rPr>
              <w:t>Shareholder</w:t>
            </w:r>
          </w:p>
        </w:tc>
        <w:tc>
          <w:tcPr>
            <w:tcW w:type="dxa" w:w="2243"/>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124.912,50</w:t>
            </w:r>
          </w:p>
        </w:tc>
        <w:tc>
          <w:tcPr>
            <w:tcW w:type="dxa" w:w="22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tc>
        <w:tc>
          <w:tcPr>
            <w:tcW w:type="dxa" w:w="224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210" w:hRule="atLeast"/>
        </w:trPr>
        <w:tc>
          <w:tcPr>
            <w:tcW w:type="dxa" w:w="224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outline w:val="0"/>
                <w:color w:val="292929"/>
                <w:sz w:val="16"/>
                <w:szCs w:val="16"/>
                <w:u w:color="292929"/>
                <w:shd w:val="nil" w:color="auto" w:fill="auto"/>
                <w:rtl w:val="0"/>
                <w:lang w:val="en-US"/>
                <w14:textFill>
                  <w14:solidFill>
                    <w14:srgbClr w14:val="292929"/>
                  </w14:solidFill>
                </w14:textFill>
              </w:rPr>
              <w:t>Non-convertible bonds</w:t>
            </w:r>
          </w:p>
        </w:tc>
        <w:tc>
          <w:tcPr>
            <w:tcW w:type="dxa" w:w="2243"/>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4.121.800,00</w:t>
            </w:r>
          </w:p>
        </w:tc>
        <w:tc>
          <w:tcPr>
            <w:tcW w:type="dxa" w:w="22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tc>
        <w:tc>
          <w:tcPr>
            <w:tcW w:type="dxa" w:w="224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4.121.800,00</w:t>
            </w:r>
          </w:p>
        </w:tc>
      </w:tr>
      <w:tr>
        <w:tblPrEx>
          <w:shd w:val="clear" w:color="auto" w:fill="cdd4e9"/>
        </w:tblPrEx>
        <w:trPr>
          <w:trHeight w:val="210" w:hRule="atLeast"/>
        </w:trPr>
        <w:tc>
          <w:tcPr>
            <w:tcW w:type="dxa" w:w="224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outline w:val="0"/>
                <w:color w:val="292929"/>
                <w:sz w:val="16"/>
                <w:szCs w:val="16"/>
                <w:u w:color="292929"/>
                <w:shd w:val="nil" w:color="auto" w:fill="auto"/>
                <w:rtl w:val="0"/>
                <w:lang w:val="en-US"/>
                <w14:textFill>
                  <w14:solidFill>
                    <w14:srgbClr w14:val="292929"/>
                  </w14:solidFill>
                </w14:textFill>
              </w:rPr>
              <w:t>Convertible bonds</w:t>
            </w:r>
          </w:p>
        </w:tc>
        <w:tc>
          <w:tcPr>
            <w:tcW w:type="dxa" w:w="2243"/>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2.000.000,00</w:t>
            </w:r>
          </w:p>
        </w:tc>
        <w:tc>
          <w:tcPr>
            <w:tcW w:type="dxa" w:w="22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tc>
        <w:tc>
          <w:tcPr>
            <w:tcW w:type="dxa" w:w="224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e7eaf4"/>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2.000.000,00</w:t>
            </w:r>
          </w:p>
        </w:tc>
      </w:tr>
      <w:tr>
        <w:tblPrEx>
          <w:shd w:val="clear" w:color="auto" w:fill="cdd4e9"/>
        </w:tblPrEx>
        <w:trPr>
          <w:trHeight w:val="210" w:hRule="atLeast"/>
        </w:trPr>
        <w:tc>
          <w:tcPr>
            <w:tcW w:type="dxa" w:w="2244"/>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outline w:val="0"/>
                <w:color w:val="292929"/>
                <w:sz w:val="16"/>
                <w:szCs w:val="16"/>
                <w:u w:color="292929"/>
                <w:shd w:val="nil" w:color="auto" w:fill="auto"/>
                <w:rtl w:val="0"/>
                <w:lang w:val="en-US"/>
                <w14:textFill>
                  <w14:solidFill>
                    <w14:srgbClr w14:val="292929"/>
                  </w14:solidFill>
                </w14:textFill>
              </w:rPr>
              <w:t>Loan</w:t>
            </w:r>
          </w:p>
        </w:tc>
        <w:tc>
          <w:tcPr>
            <w:tcW w:type="dxa" w:w="2243"/>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1.500.000,00</w:t>
            </w:r>
          </w:p>
        </w:tc>
        <w:tc>
          <w:tcPr>
            <w:tcW w:type="dxa" w:w="2240"/>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tc>
        <w:tc>
          <w:tcPr>
            <w:tcW w:type="dxa" w:w="2247"/>
            <w:tcBorders>
              <w:top w:val="single" w:color="000000" w:sz="4" w:space="0" w:shadow="0" w:frame="0"/>
              <w:left w:val="single" w:color="000000" w:sz="18"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1.500.000,00</w:t>
            </w:r>
          </w:p>
        </w:tc>
      </w:tr>
      <w:tr>
        <w:tblPrEx>
          <w:shd w:val="clear" w:color="auto" w:fill="cdd4e9"/>
        </w:tblPrEx>
        <w:trPr>
          <w:trHeight w:val="228" w:hRule="atLeast"/>
        </w:trPr>
        <w:tc>
          <w:tcPr>
            <w:tcW w:type="dxa" w:w="2244"/>
            <w:tcBorders>
              <w:top w:val="single" w:color="000000" w:sz="4" w:space="0" w:shadow="0" w:frame="0"/>
              <w:left w:val="single" w:color="000000" w:sz="18" w:space="0" w:shadow="0" w:frame="0"/>
              <w:bottom w:val="single" w:color="000000" w:sz="18" w:space="0" w:shadow="0" w:frame="0"/>
              <w:right w:val="single" w:color="000000" w:sz="18" w:space="0" w:shadow="0" w:frame="0"/>
            </w:tcBorders>
            <w:shd w:val="clear" w:color="auto" w:fill="e7eaf4"/>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outline w:val="0"/>
                <w:color w:val="292929"/>
                <w:sz w:val="16"/>
                <w:szCs w:val="16"/>
                <w:u w:color="292929"/>
                <w:shd w:val="nil" w:color="auto" w:fill="auto"/>
                <w:rtl w:val="0"/>
                <w:lang w:val="en-US"/>
                <w14:textFill>
                  <w14:solidFill>
                    <w14:srgbClr w14:val="292929"/>
                  </w14:solidFill>
                </w14:textFill>
              </w:rPr>
              <w:t>Bullet</w:t>
            </w:r>
          </w:p>
        </w:tc>
        <w:tc>
          <w:tcPr>
            <w:tcW w:type="dxa" w:w="2243"/>
            <w:tcBorders>
              <w:top w:val="single" w:color="000000" w:sz="4" w:space="0" w:shadow="0" w:frame="0"/>
              <w:left w:val="single" w:color="000000" w:sz="18" w:space="0" w:shadow="0" w:frame="0"/>
              <w:bottom w:val="single" w:color="000000" w:sz="18" w:space="0" w:shadow="0" w:frame="0"/>
              <w:right w:val="single" w:color="000000" w:sz="18" w:space="0" w:shadow="0" w:frame="0"/>
            </w:tcBorders>
            <w:shd w:val="clear" w:color="auto" w:fill="e7eaf4"/>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8.487.200,00</w:t>
            </w:r>
          </w:p>
        </w:tc>
        <w:tc>
          <w:tcPr>
            <w:tcW w:type="dxa" w:w="2240"/>
            <w:tcBorders>
              <w:top w:val="single" w:color="000000" w:sz="4" w:space="0" w:shadow="0" w:frame="0"/>
              <w:left w:val="single" w:color="000000" w:sz="18" w:space="0" w:shadow="0" w:frame="0"/>
              <w:bottom w:val="single" w:color="000000" w:sz="18" w:space="0" w:shadow="0" w:frame="0"/>
              <w:right w:val="single" w:color="000000" w:sz="18" w:space="0" w:shadow="0" w:frame="0"/>
            </w:tcBorders>
            <w:shd w:val="clear" w:color="auto" w:fill="e7eaf4"/>
            <w:tcMar>
              <w:top w:type="dxa" w:w="80"/>
              <w:left w:type="dxa" w:w="80"/>
              <w:bottom w:type="dxa" w:w="80"/>
              <w:right w:type="dxa" w:w="80"/>
            </w:tcMar>
            <w:vAlign w:val="top"/>
          </w:tcPr>
          <w:p/>
        </w:tc>
        <w:tc>
          <w:tcPr>
            <w:tcW w:type="dxa" w:w="2247"/>
            <w:tcBorders>
              <w:top w:val="single" w:color="000000" w:sz="4" w:space="0" w:shadow="0" w:frame="0"/>
              <w:left w:val="single" w:color="000000" w:sz="18" w:space="0" w:shadow="0" w:frame="0"/>
              <w:bottom w:val="single" w:color="000000" w:sz="18" w:space="0" w:shadow="0" w:frame="0"/>
              <w:right w:val="single" w:color="000000" w:sz="18" w:space="0" w:shadow="0" w:frame="0"/>
            </w:tcBorders>
            <w:shd w:val="clear" w:color="auto" w:fill="e7eaf4"/>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8.487.200,00</w:t>
            </w:r>
          </w:p>
        </w:tc>
      </w:tr>
      <w:tr>
        <w:tblPrEx>
          <w:shd w:val="clear" w:color="auto" w:fill="cdd4e9"/>
        </w:tblPrEx>
        <w:trPr>
          <w:trHeight w:val="245" w:hRule="atLeast"/>
        </w:trPr>
        <w:tc>
          <w:tcPr>
            <w:tcW w:type="dxa" w:w="2244"/>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outline w:val="0"/>
                <w:color w:val="292929"/>
                <w:sz w:val="16"/>
                <w:szCs w:val="16"/>
                <w:u w:color="292929"/>
                <w:shd w:val="nil" w:color="auto" w:fill="auto"/>
                <w:rtl w:val="0"/>
                <w:lang w:val="en-US"/>
                <w14:textFill>
                  <w14:solidFill>
                    <w14:srgbClr w14:val="292929"/>
                  </w14:solidFill>
                </w14:textFill>
              </w:rPr>
              <w:t>Sub-total allocated</w:t>
            </w:r>
          </w:p>
        </w:tc>
        <w:tc>
          <w:tcPr>
            <w:tcW w:type="dxa" w:w="2243"/>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19.631.332,12</w:t>
            </w:r>
          </w:p>
        </w:tc>
        <w:tc>
          <w:tcPr>
            <w:tcW w:type="dxa" w:w="2240"/>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581.417,99</w:t>
            </w:r>
          </w:p>
        </w:tc>
        <w:tc>
          <w:tcPr>
            <w:tcW w:type="dxa" w:w="2247"/>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16.109.000,00</w:t>
            </w:r>
          </w:p>
        </w:tc>
      </w:tr>
      <w:tr>
        <w:tblPrEx>
          <w:shd w:val="clear" w:color="auto" w:fill="cdd4e9"/>
        </w:tblPrEx>
        <w:trPr>
          <w:trHeight w:val="245" w:hRule="atLeast"/>
        </w:trPr>
        <w:tc>
          <w:tcPr>
            <w:tcW w:type="dxa" w:w="2244"/>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e7eaf4"/>
            <w:tcMar>
              <w:top w:type="dxa" w:w="80"/>
              <w:left w:type="dxa" w:w="80"/>
              <w:bottom w:type="dxa" w:w="80"/>
              <w:right w:type="dxa" w:w="80"/>
            </w:tcMar>
            <w:vAlign w:val="top"/>
          </w:tcPr>
          <w:p/>
        </w:tc>
        <w:tc>
          <w:tcPr>
            <w:tcW w:type="dxa" w:w="2243"/>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e7eaf4"/>
            <w:tcMar>
              <w:top w:type="dxa" w:w="80"/>
              <w:left w:type="dxa" w:w="80"/>
              <w:bottom w:type="dxa" w:w="80"/>
              <w:right w:type="dxa" w:w="80"/>
            </w:tcMar>
            <w:vAlign w:val="top"/>
          </w:tcPr>
          <w:p/>
        </w:tc>
        <w:tc>
          <w:tcPr>
            <w:tcW w:type="dxa" w:w="2240"/>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e7eaf4"/>
            <w:tcMar>
              <w:top w:type="dxa" w:w="80"/>
              <w:left w:type="dxa" w:w="80"/>
              <w:bottom w:type="dxa" w:w="80"/>
              <w:right w:type="dxa" w:w="80"/>
            </w:tcMar>
            <w:vAlign w:val="top"/>
          </w:tcPr>
          <w:p/>
        </w:tc>
        <w:tc>
          <w:tcPr>
            <w:tcW w:type="dxa" w:w="2247"/>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245" w:hRule="atLeast"/>
        </w:trPr>
        <w:tc>
          <w:tcPr>
            <w:tcW w:type="dxa" w:w="2244"/>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outline w:val="0"/>
                <w:color w:val="292929"/>
                <w:sz w:val="16"/>
                <w:szCs w:val="16"/>
                <w:u w:color="292929"/>
                <w:shd w:val="nil" w:color="auto" w:fill="auto"/>
                <w:rtl w:val="0"/>
                <w:lang w:val="en-US"/>
                <w14:textFill>
                  <w14:solidFill>
                    <w14:srgbClr w14:val="292929"/>
                  </w14:solidFill>
                </w14:textFill>
              </w:rPr>
              <w:t>Unallocated converted</w:t>
            </w:r>
          </w:p>
        </w:tc>
        <w:tc>
          <w:tcPr>
            <w:tcW w:type="dxa" w:w="2243"/>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2.400.000,00</w:t>
            </w:r>
          </w:p>
        </w:tc>
        <w:tc>
          <w:tcPr>
            <w:tcW w:type="dxa" w:w="2240"/>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80"/>
              <w:bottom w:type="dxa" w:w="80"/>
              <w:right w:type="dxa" w:w="80"/>
            </w:tcMar>
            <w:vAlign w:val="top"/>
          </w:tcPr>
          <w:p/>
        </w:tc>
        <w:tc>
          <w:tcPr>
            <w:tcW w:type="dxa" w:w="2247"/>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45" w:hRule="atLeast"/>
        </w:trPr>
        <w:tc>
          <w:tcPr>
            <w:tcW w:type="dxa" w:w="2244"/>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e7eaf4"/>
            <w:tcMar>
              <w:top w:type="dxa" w:w="80"/>
              <w:left w:type="dxa" w:w="80"/>
              <w:bottom w:type="dxa" w:w="80"/>
              <w:right w:type="dxa" w:w="80"/>
            </w:tcMar>
            <w:vAlign w:val="top"/>
          </w:tcPr>
          <w:p/>
        </w:tc>
        <w:tc>
          <w:tcPr>
            <w:tcW w:type="dxa" w:w="2243"/>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e7eaf4"/>
            <w:tcMar>
              <w:top w:type="dxa" w:w="80"/>
              <w:left w:type="dxa" w:w="80"/>
              <w:bottom w:type="dxa" w:w="80"/>
              <w:right w:type="dxa" w:w="80"/>
            </w:tcMar>
            <w:vAlign w:val="top"/>
          </w:tcPr>
          <w:p/>
        </w:tc>
        <w:tc>
          <w:tcPr>
            <w:tcW w:type="dxa" w:w="2240"/>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e7eaf4"/>
            <w:tcMar>
              <w:top w:type="dxa" w:w="80"/>
              <w:left w:type="dxa" w:w="80"/>
              <w:bottom w:type="dxa" w:w="80"/>
              <w:right w:type="dxa" w:w="80"/>
            </w:tcMar>
            <w:vAlign w:val="top"/>
          </w:tcPr>
          <w:p/>
        </w:tc>
        <w:tc>
          <w:tcPr>
            <w:tcW w:type="dxa" w:w="2247"/>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e7eaf4"/>
            <w:tcMar>
              <w:top w:type="dxa" w:w="80"/>
              <w:left w:type="dxa" w:w="80"/>
              <w:bottom w:type="dxa" w:w="80"/>
              <w:right w:type="dxa" w:w="80"/>
            </w:tcMar>
            <w:vAlign w:val="top"/>
          </w:tcPr>
          <w:p/>
        </w:tc>
      </w:tr>
      <w:tr>
        <w:tblPrEx>
          <w:shd w:val="clear" w:color="auto" w:fill="cdd4e9"/>
        </w:tblPrEx>
        <w:trPr>
          <w:trHeight w:val="245" w:hRule="atLeast"/>
        </w:trPr>
        <w:tc>
          <w:tcPr>
            <w:tcW w:type="dxa" w:w="2244"/>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outline w:val="0"/>
                <w:color w:val="292929"/>
                <w:sz w:val="16"/>
                <w:szCs w:val="16"/>
                <w:u w:color="292929"/>
                <w:shd w:val="nil" w:color="auto" w:fill="auto"/>
                <w:rtl w:val="0"/>
                <w:lang w:val="en-US"/>
                <w14:textFill>
                  <w14:solidFill>
                    <w14:srgbClr w14:val="292929"/>
                  </w14:solidFill>
                </w14:textFill>
              </w:rPr>
              <w:t>Total</w:t>
            </w:r>
          </w:p>
        </w:tc>
        <w:tc>
          <w:tcPr>
            <w:tcW w:type="dxa" w:w="2243"/>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22.031.332,13</w:t>
            </w:r>
          </w:p>
        </w:tc>
        <w:tc>
          <w:tcPr>
            <w:tcW w:type="dxa" w:w="2240"/>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581.417,99</w:t>
            </w:r>
          </w:p>
        </w:tc>
        <w:tc>
          <w:tcPr>
            <w:tcW w:type="dxa" w:w="2247"/>
            <w:tcBorders>
              <w:top w:val="single" w:color="000000" w:sz="18" w:space="0" w:shadow="0" w:frame="0"/>
              <w:left w:val="single" w:color="000000" w:sz="18" w:space="0" w:shadow="0" w:frame="0"/>
              <w:bottom w:val="single" w:color="000000" w:sz="18" w:space="0" w:shadow="0" w:frame="0"/>
              <w:right w:val="single" w:color="000000" w:sz="18"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both"/>
              <w:rPr>
                <w:rtl w:val="0"/>
              </w:rPr>
            </w:pPr>
            <w:r>
              <w:rPr>
                <w:rFonts w:ascii="Verdana" w:hAnsi="Verdana" w:hint="default"/>
                <w:outline w:val="0"/>
                <w:color w:val="292929"/>
                <w:sz w:val="16"/>
                <w:szCs w:val="16"/>
                <w:u w:color="292929"/>
                <w:shd w:val="nil" w:color="auto" w:fill="auto"/>
                <w:rtl w:val="0"/>
                <w:lang w:val="en-US"/>
                <w14:textFill>
                  <w14:solidFill>
                    <w14:srgbClr w14:val="292929"/>
                  </w14:solidFill>
                </w14:textFill>
              </w:rPr>
              <w:t>€</w:t>
            </w:r>
            <w:r>
              <w:rPr>
                <w:rFonts w:ascii="Verdana" w:hAnsi="Verdana"/>
                <w:outline w:val="0"/>
                <w:color w:val="292929"/>
                <w:sz w:val="16"/>
                <w:szCs w:val="16"/>
                <w:u w:color="292929"/>
                <w:shd w:val="nil" w:color="auto" w:fill="auto"/>
                <w:rtl w:val="0"/>
                <w:lang w:val="en-US"/>
                <w14:textFill>
                  <w14:solidFill>
                    <w14:srgbClr w14:val="292929"/>
                  </w14:solidFill>
                </w14:textFill>
              </w:rPr>
              <w:t>16.109.000,00</w:t>
            </w:r>
          </w:p>
        </w:tc>
      </w:tr>
    </w:tbl>
    <w:p>
      <w:pPr>
        <w:pStyle w:val="Default"/>
        <w:widowControl w:val="0"/>
        <w:bidi w:val="0"/>
        <w:spacing w:before="0" w:line="240" w:lineRule="auto"/>
        <w:ind w:left="0" w:right="0" w:firstLine="0"/>
        <w:jc w:val="both"/>
        <w:rPr>
          <w:rFonts w:ascii="Verdana" w:cs="Verdana" w:hAnsi="Verdana" w:eastAsia="Verdana"/>
          <w:outline w:val="0"/>
          <w:color w:val="292929"/>
          <w:sz w:val="20"/>
          <w:szCs w:val="20"/>
          <w:u w:color="292929"/>
          <w:rtl w:val="0"/>
          <w:lang w:val="en-US"/>
          <w14:textFill>
            <w14:solidFill>
              <w14:srgbClr w14:val="292929"/>
            </w14:solidFill>
          </w14:textFill>
        </w:rPr>
      </w:pPr>
    </w:p>
    <w:p>
      <w:pPr>
        <w:pStyle w:val="Default"/>
        <w:bidi w:val="0"/>
        <w:spacing w:before="0" w:line="240" w:lineRule="auto"/>
        <w:ind w:left="0" w:right="0" w:firstLine="0"/>
        <w:jc w:val="both"/>
        <w:rPr>
          <w:rFonts w:ascii="Verdana" w:cs="Verdana" w:hAnsi="Verdana" w:eastAsia="Verdana"/>
          <w:outline w:val="0"/>
          <w:color w:val="292929"/>
          <w:sz w:val="20"/>
          <w:szCs w:val="20"/>
          <w:u w:color="292929"/>
          <w:rtl w:val="0"/>
          <w:lang w:val="en-US"/>
          <w14:textFill>
            <w14:solidFill>
              <w14:srgbClr w14:val="292929"/>
            </w14:solidFill>
          </w14:textFill>
        </w:rPr>
      </w:pPr>
    </w:p>
    <w:p>
      <w:pPr>
        <w:pStyle w:val="Default"/>
        <w:bidi w:val="0"/>
        <w:spacing w:before="0" w:line="240" w:lineRule="auto"/>
        <w:ind w:left="0" w:right="0" w:firstLine="0"/>
        <w:jc w:val="both"/>
        <w:rPr>
          <w:rFonts w:ascii="Verdana" w:cs="Verdana" w:hAnsi="Verdana" w:eastAsia="Verdana"/>
          <w:outline w:val="0"/>
          <w:color w:val="292929"/>
          <w:sz w:val="20"/>
          <w:szCs w:val="20"/>
          <w:u w:color="292929"/>
          <w:rtl w:val="0"/>
          <w:lang w:val="en-US"/>
          <w14:textFill>
            <w14:solidFill>
              <w14:srgbClr w14:val="292929"/>
            </w14:solidFill>
          </w14:textFill>
        </w:rPr>
      </w:pPr>
      <w:r>
        <w:rPr>
          <w:rFonts w:ascii="Verdana" w:hAnsi="Verdana"/>
          <w:outline w:val="0"/>
          <w:color w:val="292929"/>
          <w:sz w:val="18"/>
          <w:szCs w:val="18"/>
          <w:u w:color="000000"/>
          <w:rtl w:val="0"/>
          <w:lang w:val="en-US"/>
          <w14:textFill>
            <w14:solidFill>
              <w14:srgbClr w14:val="292929"/>
            </w14:solidFill>
          </w14:textFill>
        </w:rPr>
        <w:t>It should be noted, however, that this table only shows the potential impact of the plan if it were to be accepted as it stands and does not take into account any new debt that the Company may incur in the future. This is also a non-consolidated view of the Company, as the debt of the subsidiary Medsenic is not taken into account.</w:t>
      </w:r>
      <w:r>
        <w:rPr>
          <w:rFonts w:ascii="Verdana" w:hAnsi="Verdana" w:hint="default"/>
          <w:outline w:val="0"/>
          <w:color w:val="292929"/>
          <w:sz w:val="18"/>
          <w:szCs w:val="18"/>
          <w:u w:color="000000"/>
          <w:rtl w:val="0"/>
          <w:lang w:val="en-US"/>
          <w14:textFill>
            <w14:solidFill>
              <w14:srgbClr w14:val="292929"/>
            </w14:solidFill>
          </w14:textFill>
        </w:rPr>
        <w:t> </w:t>
      </w:r>
    </w:p>
    <w:p>
      <w:pPr>
        <w:pStyle w:val="Default"/>
        <w:bidi w:val="0"/>
        <w:spacing w:before="0" w:line="240" w:lineRule="auto"/>
        <w:ind w:left="0" w:right="0" w:firstLine="0"/>
        <w:jc w:val="both"/>
        <w:rPr>
          <w:rFonts w:ascii="Verdana" w:cs="Verdana" w:hAnsi="Verdana" w:eastAsia="Verdana"/>
          <w:outline w:val="0"/>
          <w:color w:val="292929"/>
          <w:sz w:val="20"/>
          <w:szCs w:val="20"/>
          <w:u w:color="292929"/>
          <w:rtl w:val="0"/>
          <w:lang w:val="en-US"/>
          <w14:textFill>
            <w14:solidFill>
              <w14:srgbClr w14:val="292929"/>
            </w14:solidFill>
          </w14:textFill>
        </w:rPr>
      </w:pPr>
    </w:p>
    <w:p>
      <w:pPr>
        <w:pStyle w:val="Default"/>
        <w:bidi w:val="0"/>
        <w:spacing w:before="0" w:line="240" w:lineRule="auto"/>
        <w:ind w:left="0" w:right="0" w:firstLine="0"/>
        <w:jc w:val="both"/>
        <w:rPr>
          <w:rFonts w:ascii="Verdana" w:cs="Verdana" w:hAnsi="Verdana" w:eastAsia="Verdana"/>
          <w:outline w:val="0"/>
          <w:color w:val="292929"/>
          <w:sz w:val="20"/>
          <w:szCs w:val="20"/>
          <w:u w:color="292929"/>
          <w:rtl w:val="0"/>
          <w:lang w:val="en-US"/>
          <w14:textFill>
            <w14:solidFill>
              <w14:srgbClr w14:val="292929"/>
            </w14:solidFill>
          </w14:textFill>
        </w:rPr>
      </w:pPr>
      <w:r>
        <w:rPr>
          <w:rFonts w:ascii="Verdana" w:hAnsi="Verdana"/>
          <w:outline w:val="0"/>
          <w:color w:val="292929"/>
          <w:sz w:val="18"/>
          <w:szCs w:val="18"/>
          <w:u w:color="000000"/>
          <w:rtl w:val="0"/>
          <w:lang w:val="en-US"/>
          <w14:textFill>
            <w14:solidFill>
              <w14:srgbClr w14:val="292929"/>
            </w14:solidFill>
          </w14:textFill>
        </w:rPr>
        <w:t>BioSenic has also posted a summary of the conversion terms offered to holders of convertible bonds (excluding Global Tech Opportunities 15) under the plan on the "investors" section of its website and accessible via the following link</w:t>
      </w:r>
      <w:r>
        <w:rPr>
          <w:rFonts w:ascii="Verdana" w:hAnsi="Verdana"/>
          <w:outline w:val="0"/>
          <w:color w:val="292929"/>
          <w:sz w:val="18"/>
          <w:szCs w:val="18"/>
          <w:u w:color="292929"/>
          <w:rtl w:val="0"/>
          <w:lang w:val="en-US"/>
          <w14:textFill>
            <w14:solidFill>
              <w14:srgbClr w14:val="292929"/>
            </w14:solidFill>
          </w14:textFill>
        </w:rPr>
        <w:t>:</w:t>
      </w:r>
      <w:r>
        <w:rPr>
          <w:rFonts w:ascii="Verdana" w:hAnsi="Verdana" w:hint="default"/>
          <w:outline w:val="0"/>
          <w:color w:val="292929"/>
          <w:sz w:val="18"/>
          <w:szCs w:val="18"/>
          <w:u w:color="292929"/>
          <w:rtl w:val="0"/>
          <w:lang w:val="en-US"/>
          <w14:textFill>
            <w14:solidFill>
              <w14:srgbClr w14:val="292929"/>
            </w14:solidFill>
          </w14:textFill>
        </w:rPr>
        <w:t> </w:t>
      </w:r>
      <w:r>
        <w:rPr>
          <w:rStyle w:val="Hyperlink.0"/>
          <w:rFonts w:ascii="Verdana" w:cs="Verdana" w:hAnsi="Verdana" w:eastAsia="Verdana"/>
          <w:outline w:val="0"/>
          <w:color w:val="292929"/>
          <w:sz w:val="18"/>
          <w:szCs w:val="18"/>
          <w:u w:val="none" w:color="0000ff"/>
          <w:rtl w:val="0"/>
          <w:lang w:val="en-US"/>
          <w14:textFill>
            <w14:solidFill>
              <w14:srgbClr w14:val="292929"/>
            </w14:solidFill>
          </w14:textFill>
        </w:rPr>
        <w:fldChar w:fldCharType="begin" w:fldLock="0"/>
      </w:r>
      <w:r>
        <w:rPr>
          <w:rStyle w:val="Hyperlink.0"/>
          <w:rFonts w:ascii="Verdana" w:cs="Verdana" w:hAnsi="Verdana" w:eastAsia="Verdana"/>
          <w:outline w:val="0"/>
          <w:color w:val="292929"/>
          <w:sz w:val="18"/>
          <w:szCs w:val="18"/>
          <w:u w:val="none" w:color="0000ff"/>
          <w:rtl w:val="0"/>
          <w:lang w:val="en-US"/>
          <w14:textFill>
            <w14:solidFill>
              <w14:srgbClr w14:val="292929"/>
            </w14:solidFill>
          </w14:textFill>
        </w:rPr>
        <w:instrText xml:space="preserve"> HYPERLINK "https://biosenic.com/sites/default/files/2024-04/BioSenic_summary%2520bonds%2520refinancing_20240411.pdf"</w:instrText>
      </w:r>
      <w:r>
        <w:rPr>
          <w:rStyle w:val="Hyperlink.0"/>
          <w:rFonts w:ascii="Verdana" w:cs="Verdana" w:hAnsi="Verdana" w:eastAsia="Verdana"/>
          <w:outline w:val="0"/>
          <w:color w:val="292929"/>
          <w:sz w:val="18"/>
          <w:szCs w:val="18"/>
          <w:u w:val="none" w:color="0000ff"/>
          <w:rtl w:val="0"/>
          <w:lang w:val="en-US"/>
          <w14:textFill>
            <w14:solidFill>
              <w14:srgbClr w14:val="292929"/>
            </w14:solidFill>
          </w14:textFill>
        </w:rPr>
        <w:fldChar w:fldCharType="separate" w:fldLock="0"/>
      </w:r>
      <w:r>
        <w:rPr>
          <w:rStyle w:val="Hyperlink.0"/>
          <w:rFonts w:ascii="Verdana" w:hAnsi="Verdana"/>
          <w:outline w:val="0"/>
          <w:color w:val="292929"/>
          <w:sz w:val="18"/>
          <w:szCs w:val="18"/>
          <w:u w:val="none" w:color="0000ff"/>
          <w:rtl w:val="0"/>
          <w:lang w:val="en-US"/>
          <w14:textFill>
            <w14:solidFill>
              <w14:srgbClr w14:val="292929"/>
            </w14:solidFill>
          </w14:textFill>
        </w:rPr>
        <w:t>https://biosenic.com/sites/default/files/2024-04/BioSenic_summary%20bonds%20refinancing_20240411.pdf</w:t>
      </w:r>
      <w:r>
        <w:rPr>
          <w:rFonts w:ascii="Verdana" w:cs="Verdana" w:hAnsi="Verdana" w:eastAsia="Verdana"/>
          <w:outline w:val="0"/>
          <w:color w:val="292929"/>
          <w:u w:color="000000"/>
          <w:rtl w:val="0"/>
          <w:lang w:val="en-US"/>
          <w14:textFill>
            <w14:solidFill>
              <w14:srgbClr w14:val="292929"/>
            </w14:solidFill>
          </w14:textFill>
        </w:rPr>
        <w:fldChar w:fldCharType="end" w:fldLock="0"/>
      </w:r>
    </w:p>
    <w:p>
      <w:pPr>
        <w:pStyle w:val="Default"/>
        <w:bidi w:val="0"/>
        <w:spacing w:before="0" w:line="240" w:lineRule="auto"/>
        <w:ind w:left="0" w:right="0" w:firstLine="0"/>
        <w:jc w:val="left"/>
        <w:rPr>
          <w:rFonts w:ascii="Verdana" w:cs="Verdana" w:hAnsi="Verdana" w:eastAsia="Verdana"/>
          <w:outline w:val="0"/>
          <w:color w:val="292929"/>
          <w:sz w:val="20"/>
          <w:szCs w:val="20"/>
          <w:u w:color="292929"/>
          <w:rtl w:val="0"/>
          <w:lang w:val="en-US"/>
          <w14:textFill>
            <w14:solidFill>
              <w14:srgbClr w14:val="292929"/>
            </w14:solidFill>
          </w14:textFill>
        </w:rPr>
      </w:pPr>
    </w:p>
    <w:p>
      <w:pPr>
        <w:pStyle w:val="Default"/>
        <w:bidi w:val="0"/>
        <w:spacing w:before="0" w:line="240" w:lineRule="auto"/>
        <w:ind w:left="0" w:right="0" w:firstLine="0"/>
        <w:jc w:val="both"/>
        <w:rPr>
          <w:rFonts w:ascii="Verdana" w:cs="Verdana" w:hAnsi="Verdana" w:eastAsia="Verdana"/>
          <w:outline w:val="0"/>
          <w:color w:val="292929"/>
          <w:sz w:val="20"/>
          <w:szCs w:val="20"/>
          <w:u w:color="292929"/>
          <w:rtl w:val="0"/>
          <w:lang w:val="en-US"/>
          <w14:textFill>
            <w14:solidFill>
              <w14:srgbClr w14:val="292929"/>
            </w14:solidFill>
          </w14:textFill>
        </w:rPr>
      </w:pPr>
      <w:r>
        <w:rPr>
          <w:rFonts w:ascii="Verdana" w:hAnsi="Verdana"/>
          <w:b w:val="1"/>
          <w:bCs w:val="1"/>
          <w:outline w:val="0"/>
          <w:color w:val="292929"/>
          <w:sz w:val="18"/>
          <w:szCs w:val="18"/>
          <w:u w:color="000000"/>
          <w:rtl w:val="0"/>
          <w:lang w:val="en-US"/>
          <w14:textFill>
            <w14:solidFill>
              <w14:srgbClr w14:val="292929"/>
            </w14:solidFill>
          </w14:textFill>
        </w:rPr>
        <w:t>About BioSenic</w:t>
      </w:r>
      <w:r>
        <w:rPr>
          <w:rFonts w:ascii="Verdana" w:hAnsi="Verdana" w:hint="default"/>
          <w:b w:val="1"/>
          <w:bCs w:val="1"/>
          <w:outline w:val="0"/>
          <w:color w:val="292929"/>
          <w:sz w:val="18"/>
          <w:szCs w:val="18"/>
          <w:u w:color="000000"/>
          <w:rtl w:val="0"/>
          <w:lang w:val="en-US"/>
          <w14:textFill>
            <w14:solidFill>
              <w14:srgbClr w14:val="292929"/>
            </w14:solidFill>
          </w14:textFill>
        </w:rPr>
        <w:t> </w:t>
      </w:r>
    </w:p>
    <w:p>
      <w:pPr>
        <w:pStyle w:val="Default"/>
        <w:bidi w:val="0"/>
        <w:spacing w:before="0" w:line="240" w:lineRule="auto"/>
        <w:ind w:left="0" w:right="0" w:firstLine="0"/>
        <w:jc w:val="both"/>
        <w:rPr>
          <w:rFonts w:ascii="Verdana" w:cs="Verdana" w:hAnsi="Verdana" w:eastAsia="Verdana"/>
          <w:outline w:val="0"/>
          <w:color w:val="292929"/>
          <w:sz w:val="20"/>
          <w:szCs w:val="20"/>
          <w:u w:color="292929"/>
          <w:rtl w:val="0"/>
          <w:lang w:val="en-US"/>
          <w14:textFill>
            <w14:solidFill>
              <w14:srgbClr w14:val="292929"/>
            </w14:solidFill>
          </w14:textFill>
        </w:rPr>
      </w:pPr>
      <w:r>
        <w:rPr>
          <w:rFonts w:ascii="Verdana" w:hAnsi="Verdana"/>
          <w:outline w:val="0"/>
          <w:color w:val="292929"/>
          <w:sz w:val="18"/>
          <w:szCs w:val="18"/>
          <w:u w:color="000000"/>
          <w:rtl w:val="0"/>
          <w:lang w:val="en-US"/>
          <w14:textFill>
            <w14:solidFill>
              <w14:srgbClr w14:val="292929"/>
            </w14:solidFill>
          </w14:textFill>
        </w:rPr>
        <w:t>BioSenic is a leading biotech company specializing in the development of clinical assets issued from its Medsenic</w:t>
      </w:r>
      <w:r>
        <w:rPr>
          <w:rFonts w:ascii="Verdana" w:hAnsi="Verdana" w:hint="default"/>
          <w:outline w:val="0"/>
          <w:color w:val="292929"/>
          <w:sz w:val="18"/>
          <w:szCs w:val="18"/>
          <w:u w:color="000000"/>
          <w:rtl w:val="0"/>
          <w:lang w:val="en-US"/>
          <w14:textFill>
            <w14:solidFill>
              <w14:srgbClr w14:val="292929"/>
            </w14:solidFill>
          </w14:textFill>
        </w:rPr>
        <w:t>’</w:t>
      </w:r>
      <w:r>
        <w:rPr>
          <w:rFonts w:ascii="Verdana" w:hAnsi="Verdana"/>
          <w:outline w:val="0"/>
          <w:color w:val="292929"/>
          <w:sz w:val="18"/>
          <w:szCs w:val="18"/>
          <w:u w:color="000000"/>
          <w:rtl w:val="0"/>
          <w:lang w:val="en-US"/>
          <w14:textFill>
            <w14:solidFill>
              <w14:srgbClr w14:val="292929"/>
            </w14:solidFill>
          </w14:textFill>
        </w:rPr>
        <w:t>s arsenic trioxide (ATO) platform. Key target indications for the autoimmune platform include graft-versus-host-disease (GvHD), systemic lupus erythematosus (SLE), and now systemic sclerosis (SSc).</w:t>
      </w:r>
    </w:p>
    <w:p>
      <w:pPr>
        <w:pStyle w:val="Default"/>
        <w:bidi w:val="0"/>
        <w:spacing w:before="0" w:line="240" w:lineRule="auto"/>
        <w:ind w:left="0" w:right="0" w:firstLine="0"/>
        <w:jc w:val="both"/>
        <w:rPr>
          <w:rFonts w:ascii="Verdana" w:cs="Verdana" w:hAnsi="Verdana" w:eastAsia="Verdana"/>
          <w:outline w:val="0"/>
          <w:color w:val="292929"/>
          <w:sz w:val="20"/>
          <w:szCs w:val="20"/>
          <w:u w:color="292929"/>
          <w:rtl w:val="0"/>
          <w:lang w:val="en-US"/>
          <w14:textFill>
            <w14:solidFill>
              <w14:srgbClr w14:val="292929"/>
            </w14:solidFill>
          </w14:textFill>
        </w:rPr>
      </w:pPr>
      <w:r>
        <w:rPr>
          <w:rFonts w:ascii="Verdana" w:hAnsi="Verdana"/>
          <w:outline w:val="0"/>
          <w:color w:val="292929"/>
          <w:sz w:val="18"/>
          <w:szCs w:val="18"/>
          <w:u w:color="000000"/>
          <w:rtl w:val="0"/>
          <w:lang w:val="en-US"/>
          <w14:textFill>
            <w14:solidFill>
              <w14:srgbClr w14:val="292929"/>
            </w14:solidFill>
          </w14:textFill>
        </w:rPr>
        <w:t>Following the merger in October 2022, BioSenic combined the strategic positionings and strengths of Medsenic and Bone Therapeutics. The merger specifically enables Medsenic/Biosenic to develop an entirely new arsenal of various anti-inflammatory and anti-autoimmune formulations using the immunomodulatory properties of ATO/oral ATO (OATO).</w:t>
      </w:r>
      <w:r>
        <w:rPr>
          <w:rFonts w:ascii="Verdana" w:hAnsi="Verdana" w:hint="default"/>
          <w:outline w:val="0"/>
          <w:color w:val="292929"/>
          <w:sz w:val="18"/>
          <w:szCs w:val="18"/>
          <w:u w:color="000000"/>
          <w:rtl w:val="0"/>
          <w:lang w:val="en-US"/>
          <w14:textFill>
            <w14:solidFill>
              <w14:srgbClr w14:val="292929"/>
            </w14:solidFill>
          </w14:textFill>
        </w:rPr>
        <w:t> </w:t>
      </w:r>
    </w:p>
    <w:p>
      <w:pPr>
        <w:pStyle w:val="Default"/>
        <w:bidi w:val="0"/>
        <w:spacing w:before="0" w:line="240" w:lineRule="auto"/>
        <w:ind w:left="0" w:right="0" w:firstLine="0"/>
        <w:jc w:val="both"/>
        <w:rPr>
          <w:rFonts w:ascii="Verdana" w:cs="Verdana" w:hAnsi="Verdana" w:eastAsia="Verdana"/>
          <w:outline w:val="0"/>
          <w:color w:val="292929"/>
          <w:sz w:val="20"/>
          <w:szCs w:val="20"/>
          <w:u w:color="292929"/>
          <w:rtl w:val="0"/>
          <w:lang w:val="en-US"/>
          <w14:textFill>
            <w14:solidFill>
              <w14:srgbClr w14:val="292929"/>
            </w14:solidFill>
          </w14:textFill>
        </w:rPr>
      </w:pPr>
      <w:r>
        <w:rPr>
          <w:rFonts w:ascii="Verdana" w:hAnsi="Verdana"/>
          <w:outline w:val="0"/>
          <w:color w:val="292929"/>
          <w:sz w:val="18"/>
          <w:szCs w:val="18"/>
          <w:u w:color="000000"/>
          <w:rtl w:val="0"/>
          <w:lang w:val="en-US"/>
          <w14:textFill>
            <w14:solidFill>
              <w14:srgbClr w14:val="292929"/>
            </w14:solidFill>
          </w14:textFill>
        </w:rPr>
        <w:t>BioSenic is based in the Louvain-la-Neuve Science Park in Mont-Saint-Guibert, Belgium. Further information is available at</w:t>
      </w:r>
      <w:r>
        <w:rPr>
          <w:rFonts w:ascii="Verdana" w:hAnsi="Verdana" w:hint="default"/>
          <w:outline w:val="0"/>
          <w:color w:val="292929"/>
          <w:sz w:val="18"/>
          <w:szCs w:val="18"/>
          <w:u w:color="000000"/>
          <w:rtl w:val="0"/>
          <w:lang w:val="en-US"/>
          <w14:textFill>
            <w14:solidFill>
              <w14:srgbClr w14:val="292929"/>
            </w14:solidFill>
          </w14:textFill>
        </w:rPr>
        <w:t> </w:t>
      </w:r>
      <w:r>
        <w:rPr>
          <w:rStyle w:val="Hyperlink.0"/>
          <w:rFonts w:ascii="Verdana" w:cs="Verdana" w:hAnsi="Verdana" w:eastAsia="Verdana"/>
          <w:outline w:val="0"/>
          <w:color w:val="292929"/>
          <w:sz w:val="18"/>
          <w:szCs w:val="18"/>
          <w:u w:val="none" w:color="0000ff"/>
          <w:rtl w:val="0"/>
          <w:lang w:val="en-US"/>
          <w14:textFill>
            <w14:solidFill>
              <w14:srgbClr w14:val="292929"/>
            </w14:solidFill>
          </w14:textFill>
        </w:rPr>
        <w:fldChar w:fldCharType="begin" w:fldLock="0"/>
      </w:r>
      <w:r>
        <w:rPr>
          <w:rStyle w:val="Hyperlink.0"/>
          <w:rFonts w:ascii="Verdana" w:cs="Verdana" w:hAnsi="Verdana" w:eastAsia="Verdana"/>
          <w:outline w:val="0"/>
          <w:color w:val="292929"/>
          <w:sz w:val="18"/>
          <w:szCs w:val="18"/>
          <w:u w:val="none" w:color="0000ff"/>
          <w:rtl w:val="0"/>
          <w:lang w:val="en-US"/>
          <w14:textFill>
            <w14:solidFill>
              <w14:srgbClr w14:val="292929"/>
            </w14:solidFill>
          </w14:textFill>
        </w:rPr>
        <w:instrText xml:space="preserve"> HYPERLINK "http://www.biosenic.com"</w:instrText>
      </w:r>
      <w:r>
        <w:rPr>
          <w:rStyle w:val="Hyperlink.0"/>
          <w:rFonts w:ascii="Verdana" w:cs="Verdana" w:hAnsi="Verdana" w:eastAsia="Verdana"/>
          <w:outline w:val="0"/>
          <w:color w:val="292929"/>
          <w:sz w:val="18"/>
          <w:szCs w:val="18"/>
          <w:u w:val="none" w:color="0000ff"/>
          <w:rtl w:val="0"/>
          <w:lang w:val="en-US"/>
          <w14:textFill>
            <w14:solidFill>
              <w14:srgbClr w14:val="292929"/>
            </w14:solidFill>
          </w14:textFill>
        </w:rPr>
        <w:fldChar w:fldCharType="separate" w:fldLock="0"/>
      </w:r>
      <w:r>
        <w:rPr>
          <w:rStyle w:val="Hyperlink.0"/>
          <w:rFonts w:ascii="Verdana" w:hAnsi="Verdana"/>
          <w:outline w:val="0"/>
          <w:color w:val="292929"/>
          <w:sz w:val="18"/>
          <w:szCs w:val="18"/>
          <w:u w:val="none" w:color="0000ff"/>
          <w:rtl w:val="0"/>
          <w:lang w:val="en-US"/>
          <w14:textFill>
            <w14:solidFill>
              <w14:srgbClr w14:val="292929"/>
            </w14:solidFill>
          </w14:textFill>
        </w:rPr>
        <w:t>http://www.biosenic.com</w:t>
      </w:r>
      <w:r>
        <w:rPr>
          <w:rFonts w:ascii="Verdana" w:cs="Verdana" w:hAnsi="Verdana" w:eastAsia="Verdana"/>
          <w:outline w:val="0"/>
          <w:color w:val="292929"/>
          <w:u w:color="000000"/>
          <w:rtl w:val="0"/>
          <w:lang w:val="en-US"/>
          <w14:textFill>
            <w14:solidFill>
              <w14:srgbClr w14:val="292929"/>
            </w14:solidFill>
          </w14:textFill>
        </w:rPr>
        <w:fldChar w:fldCharType="end" w:fldLock="0"/>
      </w:r>
      <w:r>
        <w:rPr>
          <w:rFonts w:ascii="Verdana" w:hAnsi="Verdana"/>
          <w:outline w:val="0"/>
          <w:color w:val="292929"/>
          <w:sz w:val="18"/>
          <w:szCs w:val="18"/>
          <w:u w:color="292929"/>
          <w:rtl w:val="0"/>
          <w:lang w:val="en-US"/>
          <w14:textFill>
            <w14:solidFill>
              <w14:srgbClr w14:val="292929"/>
            </w14:solidFill>
          </w14:textFill>
        </w:rPr>
        <w:t>.</w:t>
      </w:r>
      <w:r>
        <w:rPr>
          <w:rFonts w:ascii="Verdana" w:hAnsi="Verdana" w:hint="default"/>
          <w:outline w:val="0"/>
          <w:color w:val="292929"/>
          <w:sz w:val="18"/>
          <w:szCs w:val="18"/>
          <w:u w:color="292929"/>
          <w:rtl w:val="0"/>
          <w:lang w:val="en-US"/>
          <w14:textFill>
            <w14:solidFill>
              <w14:srgbClr w14:val="292929"/>
            </w14:solidFill>
          </w14:textFill>
        </w:rPr>
        <w:t> </w:t>
      </w:r>
    </w:p>
    <w:p>
      <w:pPr>
        <w:pStyle w:val="Default"/>
        <w:bidi w:val="0"/>
        <w:spacing w:before="0" w:line="240" w:lineRule="auto"/>
        <w:ind w:left="0" w:right="0" w:firstLine="0"/>
        <w:jc w:val="left"/>
        <w:rPr>
          <w:rFonts w:ascii="Verdana" w:cs="Verdana" w:hAnsi="Verdana" w:eastAsia="Verdana"/>
          <w:outline w:val="0"/>
          <w:color w:val="292929"/>
          <w:sz w:val="20"/>
          <w:szCs w:val="20"/>
          <w:u w:color="292929"/>
          <w:rtl w:val="0"/>
          <w:lang w:val="en-US"/>
          <w14:textFill>
            <w14:solidFill>
              <w14:srgbClr w14:val="292929"/>
            </w14:solidFill>
          </w14:textFill>
        </w:rPr>
      </w:pPr>
    </w:p>
    <w:p>
      <w:pPr>
        <w:pStyle w:val="Default"/>
        <w:bidi w:val="0"/>
        <w:spacing w:before="0" w:line="240" w:lineRule="auto"/>
        <w:ind w:left="0" w:right="0" w:firstLine="0"/>
        <w:jc w:val="left"/>
        <w:rPr>
          <w:rFonts w:ascii="Verdana" w:cs="Verdana" w:hAnsi="Verdana" w:eastAsia="Verdana"/>
          <w:outline w:val="0"/>
          <w:color w:val="292929"/>
          <w:sz w:val="20"/>
          <w:szCs w:val="20"/>
          <w:u w:color="292929"/>
          <w:rtl w:val="0"/>
          <w:lang w:val="en-US"/>
          <w14:textFill>
            <w14:solidFill>
              <w14:srgbClr w14:val="292929"/>
            </w14:solidFill>
          </w14:textFill>
        </w:rPr>
      </w:pPr>
      <w:r>
        <w:rPr>
          <w:rFonts w:ascii="Verdana" w:hAnsi="Verdana"/>
          <w:b w:val="1"/>
          <w:bCs w:val="1"/>
          <w:outline w:val="0"/>
          <w:color w:val="292929"/>
          <w:sz w:val="18"/>
          <w:szCs w:val="18"/>
          <w:u w:color="000000"/>
          <w:rtl w:val="0"/>
          <w:lang w:val="en-US"/>
          <w14:textFill>
            <w14:solidFill>
              <w14:srgbClr w14:val="292929"/>
            </w14:solidFill>
          </w14:textFill>
        </w:rPr>
        <w:t>About BioSenic's technology platforms</w:t>
      </w:r>
      <w:r>
        <w:rPr>
          <w:rFonts w:ascii="Verdana" w:hAnsi="Verdana" w:hint="default"/>
          <w:b w:val="1"/>
          <w:bCs w:val="1"/>
          <w:outline w:val="0"/>
          <w:color w:val="292929"/>
          <w:sz w:val="18"/>
          <w:szCs w:val="18"/>
          <w:u w:color="000000"/>
          <w:rtl w:val="0"/>
          <w:lang w:val="en-US"/>
          <w14:textFill>
            <w14:solidFill>
              <w14:srgbClr w14:val="292929"/>
            </w14:solidFill>
          </w14:textFill>
        </w:rPr>
        <w:t> </w:t>
      </w:r>
    </w:p>
    <w:p>
      <w:pPr>
        <w:pStyle w:val="Default"/>
        <w:bidi w:val="0"/>
        <w:spacing w:before="0" w:line="240" w:lineRule="auto"/>
        <w:ind w:left="0" w:right="0" w:firstLine="0"/>
        <w:jc w:val="both"/>
        <w:rPr>
          <w:rFonts w:ascii="Verdana" w:cs="Verdana" w:hAnsi="Verdana" w:eastAsia="Verdana"/>
          <w:outline w:val="0"/>
          <w:color w:val="292929"/>
          <w:sz w:val="20"/>
          <w:szCs w:val="20"/>
          <w:u w:color="292929"/>
          <w:rtl w:val="0"/>
          <w:lang w:val="en-US"/>
          <w14:textFill>
            <w14:solidFill>
              <w14:srgbClr w14:val="292929"/>
            </w14:solidFill>
          </w14:textFill>
        </w:rPr>
      </w:pPr>
      <w:r>
        <w:rPr>
          <w:rFonts w:ascii="Verdana" w:hAnsi="Verdana"/>
          <w:outline w:val="0"/>
          <w:color w:val="292929"/>
          <w:sz w:val="18"/>
          <w:szCs w:val="18"/>
          <w:u w:color="000000"/>
          <w:shd w:val="clear" w:color="auto" w:fill="ffffff"/>
          <w:rtl w:val="0"/>
          <w:lang w:val="en-US"/>
          <w14:textFill>
            <w14:solidFill>
              <w14:srgbClr w14:val="292929"/>
            </w14:solidFill>
          </w14:textFill>
        </w:rPr>
        <w:t>The</w:t>
      </w:r>
      <w:r>
        <w:rPr>
          <w:rFonts w:ascii="Verdana" w:hAnsi="Verdana" w:hint="default"/>
          <w:outline w:val="0"/>
          <w:color w:val="292929"/>
          <w:sz w:val="18"/>
          <w:szCs w:val="18"/>
          <w:u w:color="000000"/>
          <w:shd w:val="clear" w:color="auto" w:fill="ffffff"/>
          <w:rtl w:val="0"/>
          <w:lang w:val="en-US"/>
          <w14:textFill>
            <w14:solidFill>
              <w14:srgbClr w14:val="292929"/>
            </w14:solidFill>
          </w14:textFill>
        </w:rPr>
        <w:t> </w:t>
      </w:r>
      <w:r>
        <w:rPr>
          <w:rFonts w:ascii="Verdana" w:hAnsi="Verdana"/>
          <w:b w:val="1"/>
          <w:bCs w:val="1"/>
          <w:outline w:val="0"/>
          <w:color w:val="292929"/>
          <w:sz w:val="18"/>
          <w:szCs w:val="18"/>
          <w:u w:color="000000"/>
          <w:shd w:val="clear" w:color="auto" w:fill="ffffff"/>
          <w:rtl w:val="0"/>
          <w:lang w:val="en-US"/>
          <w14:textFill>
            <w14:solidFill>
              <w14:srgbClr w14:val="292929"/>
            </w14:solidFill>
          </w14:textFill>
        </w:rPr>
        <w:t>ATO platform</w:t>
      </w:r>
      <w:r>
        <w:rPr>
          <w:rFonts w:ascii="Verdana" w:hAnsi="Verdana" w:hint="default"/>
          <w:outline w:val="0"/>
          <w:color w:val="292929"/>
          <w:sz w:val="18"/>
          <w:szCs w:val="18"/>
          <w:u w:color="000000"/>
          <w:shd w:val="clear" w:color="auto" w:fill="ffffff"/>
          <w:rtl w:val="0"/>
          <w:lang w:val="en-US"/>
          <w14:textFill>
            <w14:solidFill>
              <w14:srgbClr w14:val="292929"/>
            </w14:solidFill>
          </w14:textFill>
        </w:rPr>
        <w:t> </w:t>
      </w:r>
      <w:r>
        <w:rPr>
          <w:rFonts w:ascii="Verdana" w:hAnsi="Verdana"/>
          <w:outline w:val="0"/>
          <w:color w:val="292929"/>
          <w:sz w:val="18"/>
          <w:szCs w:val="18"/>
          <w:u w:color="000000"/>
          <w:shd w:val="clear" w:color="auto" w:fill="ffffff"/>
          <w:rtl w:val="0"/>
          <w:lang w:val="en-US"/>
          <w14:textFill>
            <w14:solidFill>
              <w14:srgbClr w14:val="292929"/>
            </w14:solidFill>
          </w14:textFill>
        </w:rPr>
        <w:t>has immunomodulatory properties with fundamental effects on the activated cells of the immune system. One direct application is its use in autoimmunity to treat in its chronic, established stage. Chronic GvHD is one of the most common and clinically significant complications affecting long-term survival of allogeneic hematopoietic stem cell transplantation (allo-HSCT), a curative treatment for patients with serious blood diseases, including cancers.</w:t>
      </w:r>
    </w:p>
    <w:p>
      <w:pPr>
        <w:pStyle w:val="Default"/>
        <w:bidi w:val="0"/>
        <w:spacing w:before="0" w:line="240" w:lineRule="auto"/>
        <w:ind w:left="0" w:right="0" w:firstLine="0"/>
        <w:jc w:val="both"/>
        <w:rPr>
          <w:rFonts w:ascii="Verdana" w:cs="Verdana" w:hAnsi="Verdana" w:eastAsia="Verdana"/>
          <w:outline w:val="0"/>
          <w:color w:val="292929"/>
          <w:sz w:val="20"/>
          <w:szCs w:val="20"/>
          <w:u w:color="292929"/>
          <w:rtl w:val="0"/>
          <w:lang w:val="en-US"/>
          <w14:textFill>
            <w14:solidFill>
              <w14:srgbClr w14:val="292929"/>
            </w14:solidFill>
          </w14:textFill>
        </w:rPr>
      </w:pPr>
      <w:r>
        <w:rPr>
          <w:rFonts w:ascii="Verdana" w:hAnsi="Verdana"/>
          <w:outline w:val="0"/>
          <w:color w:val="292929"/>
          <w:sz w:val="18"/>
          <w:szCs w:val="18"/>
          <w:u w:color="000000"/>
          <w:shd w:val="clear" w:color="auto" w:fill="ffffff"/>
          <w:rtl w:val="0"/>
          <w:lang w:val="en-US"/>
          <w14:textFill>
            <w14:solidFill>
              <w14:srgbClr w14:val="292929"/>
            </w14:solidFill>
          </w14:textFill>
        </w:rPr>
        <w:t>BioSenic</w:t>
      </w:r>
      <w:r>
        <w:rPr>
          <w:rFonts w:ascii="Verdana" w:hAnsi="Verdana" w:hint="default"/>
          <w:outline w:val="0"/>
          <w:color w:val="292929"/>
          <w:sz w:val="18"/>
          <w:szCs w:val="18"/>
          <w:u w:color="000000"/>
          <w:shd w:val="clear" w:color="auto" w:fill="ffffff"/>
          <w:rtl w:val="0"/>
          <w:lang w:val="en-US"/>
          <w14:textFill>
            <w14:solidFill>
              <w14:srgbClr w14:val="292929"/>
            </w14:solidFill>
          </w14:textFill>
        </w:rPr>
        <w:t>’</w:t>
      </w:r>
      <w:r>
        <w:rPr>
          <w:rFonts w:ascii="Verdana" w:hAnsi="Verdana"/>
          <w:outline w:val="0"/>
          <w:color w:val="292929"/>
          <w:sz w:val="18"/>
          <w:szCs w:val="18"/>
          <w:u w:color="000000"/>
          <w:shd w:val="clear" w:color="auto" w:fill="ffffff"/>
          <w:rtl w:val="0"/>
          <w:lang w:val="en-US"/>
          <w14:textFill>
            <w14:solidFill>
              <w14:srgbClr w14:val="292929"/>
            </w14:solidFill>
          </w14:textFill>
        </w:rPr>
        <w:t>s intravenous ATO formulation,</w:t>
      </w:r>
      <w:r>
        <w:rPr>
          <w:rFonts w:ascii="Verdana" w:hAnsi="Verdana" w:hint="default"/>
          <w:outline w:val="0"/>
          <w:color w:val="292929"/>
          <w:sz w:val="18"/>
          <w:szCs w:val="18"/>
          <w:u w:color="000000"/>
          <w:shd w:val="clear" w:color="auto" w:fill="ffffff"/>
          <w:rtl w:val="0"/>
          <w:lang w:val="en-US"/>
          <w14:textFill>
            <w14:solidFill>
              <w14:srgbClr w14:val="292929"/>
            </w14:solidFill>
          </w14:textFill>
        </w:rPr>
        <w:t> </w:t>
      </w:r>
      <w:r>
        <w:rPr>
          <w:rFonts w:ascii="Verdana" w:hAnsi="Verdana"/>
          <w:b w:val="1"/>
          <w:bCs w:val="1"/>
          <w:outline w:val="0"/>
          <w:color w:val="292929"/>
          <w:sz w:val="18"/>
          <w:szCs w:val="18"/>
          <w:u w:color="000000"/>
          <w:shd w:val="clear" w:color="auto" w:fill="ffffff"/>
          <w:rtl w:val="0"/>
          <w:lang w:val="en-US"/>
          <w14:textFill>
            <w14:solidFill>
              <w14:srgbClr w14:val="292929"/>
            </w14:solidFill>
          </w14:textFill>
        </w:rPr>
        <w:t>Arscimed</w:t>
      </w:r>
      <w:r>
        <w:rPr>
          <w:rFonts w:ascii="Verdana" w:hAnsi="Verdana"/>
          <w:outline w:val="0"/>
          <w:color w:val="292929"/>
          <w:sz w:val="18"/>
          <w:szCs w:val="18"/>
          <w:u w:color="000000"/>
          <w:shd w:val="clear" w:color="auto" w:fill="ffffff"/>
          <w:rtl w:val="0"/>
          <w:lang w:val="en-US"/>
          <w14:textFill>
            <w14:solidFill>
              <w14:srgbClr w14:val="292929"/>
            </w14:solidFill>
          </w14:textFill>
        </w:rPr>
        <w:t>(R), has orphan drug designation status by FDA and EMA, and it has shown good safety and significant clinical efficacy for skin, mucosae, and the gastrointestinal tract in an early Phase 2a study. The company is planning a confirmatory international Phase 3 study with its oral ATO (</w:t>
      </w:r>
      <w:r>
        <w:rPr>
          <w:rFonts w:ascii="Verdana" w:hAnsi="Verdana"/>
          <w:b w:val="1"/>
          <w:bCs w:val="1"/>
          <w:outline w:val="0"/>
          <w:color w:val="292929"/>
          <w:sz w:val="18"/>
          <w:szCs w:val="18"/>
          <w:u w:color="000000"/>
          <w:shd w:val="clear" w:color="auto" w:fill="ffffff"/>
          <w:rtl w:val="0"/>
          <w:lang w:val="en-US"/>
          <w14:textFill>
            <w14:solidFill>
              <w14:srgbClr w14:val="292929"/>
            </w14:solidFill>
          </w14:textFill>
        </w:rPr>
        <w:t>OATO</w:t>
      </w:r>
      <w:r>
        <w:rPr>
          <w:rFonts w:ascii="Verdana" w:hAnsi="Verdana"/>
          <w:outline w:val="0"/>
          <w:color w:val="292929"/>
          <w:sz w:val="18"/>
          <w:szCs w:val="18"/>
          <w:u w:color="000000"/>
          <w:shd w:val="clear" w:color="auto" w:fill="ffffff"/>
          <w:rtl w:val="0"/>
          <w:lang w:val="en-US"/>
          <w14:textFill>
            <w14:solidFill>
              <w14:srgbClr w14:val="292929"/>
            </w14:solidFill>
          </w14:textFill>
        </w:rPr>
        <w:t>) formulation. OATO will also target moderate-to-severe forms of SLE. BioSenic is also developing a new IP-protected composite ATO formulation for the treatment of SSc, a serious chronic disease that affects skin, lungs or vascularization, and has no current effective treatment. Preclinical studies on pertinent animal models support the launch of a Phase 2 clinical trial.</w:t>
      </w:r>
    </w:p>
    <w:p>
      <w:pPr>
        <w:pStyle w:val="Default"/>
        <w:bidi w:val="0"/>
        <w:spacing w:before="0" w:line="240" w:lineRule="auto"/>
        <w:ind w:left="0" w:right="0" w:firstLine="0"/>
        <w:jc w:val="both"/>
        <w:rPr>
          <w:rFonts w:ascii="Verdana" w:cs="Verdana" w:hAnsi="Verdana" w:eastAsia="Verdana"/>
          <w:outline w:val="0"/>
          <w:color w:val="292929"/>
          <w:sz w:val="20"/>
          <w:szCs w:val="20"/>
          <w:u w:color="292929"/>
          <w:rtl w:val="0"/>
          <w:lang w:val="en-US"/>
          <w14:textFill>
            <w14:solidFill>
              <w14:srgbClr w14:val="292929"/>
            </w14:solidFill>
          </w14:textFill>
        </w:rPr>
      </w:pPr>
      <w:r>
        <w:rPr>
          <w:rFonts w:ascii="Verdana" w:hAnsi="Verdana"/>
          <w:b w:val="1"/>
          <w:bCs w:val="1"/>
          <w:outline w:val="0"/>
          <w:color w:val="292929"/>
          <w:sz w:val="18"/>
          <w:szCs w:val="18"/>
          <w:u w:color="000000"/>
          <w:shd w:val="clear" w:color="auto" w:fill="ffffff"/>
          <w:rtl w:val="0"/>
          <w:lang w:val="en-US"/>
          <w14:textFill>
            <w14:solidFill>
              <w14:srgbClr w14:val="292929"/>
            </w14:solidFill>
          </w14:textFill>
        </w:rPr>
        <w:t>ALLOB</w:t>
      </w:r>
      <w:r>
        <w:rPr>
          <w:rFonts w:ascii="Verdana" w:hAnsi="Verdana" w:hint="default"/>
          <w:outline w:val="0"/>
          <w:color w:val="292929"/>
          <w:sz w:val="18"/>
          <w:szCs w:val="18"/>
          <w:u w:color="000000"/>
          <w:shd w:val="clear" w:color="auto" w:fill="ffffff"/>
          <w:rtl w:val="0"/>
          <w:lang w:val="en-US"/>
          <w14:textFill>
            <w14:solidFill>
              <w14:srgbClr w14:val="292929"/>
            </w14:solidFill>
          </w14:textFill>
        </w:rPr>
        <w:t> </w:t>
      </w:r>
      <w:r>
        <w:rPr>
          <w:rFonts w:ascii="Verdana" w:hAnsi="Verdana"/>
          <w:outline w:val="0"/>
          <w:color w:val="292929"/>
          <w:sz w:val="18"/>
          <w:szCs w:val="18"/>
          <w:u w:color="000000"/>
          <w:shd w:val="clear" w:color="auto" w:fill="ffffff"/>
          <w:rtl w:val="0"/>
          <w:lang w:val="en-US"/>
          <w14:textFill>
            <w14:solidFill>
              <w14:srgbClr w14:val="292929"/>
            </w14:solidFill>
          </w14:textFill>
        </w:rPr>
        <w:t>is an allogeneic cell therapy platform made of differentiated, bone marrow-sourced mesenchymal stromal cells (MSCs), which can be stored at the point-of-use in hospitals. ALLOB represents a unique and proprietary approach to organ repair, and specifically to bone regeneration, by turning undifferentiated MSCs from healthy donors into bone-forming cells at the site of injury. BioSenic is studying the results of a recent</w:t>
      </w:r>
      <w:r>
        <w:rPr>
          <w:rFonts w:ascii="Verdana" w:hAnsi="Verdana" w:hint="default"/>
          <w:outline w:val="0"/>
          <w:color w:val="292929"/>
          <w:sz w:val="18"/>
          <w:szCs w:val="18"/>
          <w:u w:color="000000"/>
          <w:shd w:val="clear" w:color="auto" w:fill="ffffff"/>
          <w:rtl w:val="0"/>
          <w:lang w:val="en-US"/>
          <w14:textFill>
            <w14:solidFill>
              <w14:srgbClr w14:val="292929"/>
            </w14:solidFill>
          </w14:textFill>
        </w:rPr>
        <w:t> </w:t>
      </w:r>
      <w:r>
        <w:rPr>
          <w:rFonts w:ascii="Verdana" w:hAnsi="Verdana"/>
          <w:outline w:val="0"/>
          <w:color w:val="292929"/>
          <w:sz w:val="18"/>
          <w:szCs w:val="18"/>
          <w:u w:color="000000"/>
          <w:shd w:val="clear" w:color="auto" w:fill="ffffff"/>
          <w:rtl w:val="0"/>
          <w:lang w:val="en-US"/>
          <w14:textFill>
            <w14:solidFill>
              <w14:srgbClr w14:val="292929"/>
            </w14:solidFill>
          </w14:textFill>
        </w:rPr>
        <w:t>Phase 2b trial,</w:t>
      </w:r>
      <w:r>
        <w:rPr>
          <w:rFonts w:ascii="Verdana" w:hAnsi="Verdana" w:hint="default"/>
          <w:outline w:val="0"/>
          <w:color w:val="292929"/>
          <w:sz w:val="18"/>
          <w:szCs w:val="18"/>
          <w:u w:color="000000"/>
          <w:shd w:val="clear" w:color="auto" w:fill="ffffff"/>
          <w:rtl w:val="0"/>
          <w:lang w:val="en-US"/>
          <w14:textFill>
            <w14:solidFill>
              <w14:srgbClr w14:val="292929"/>
            </w14:solidFill>
          </w14:textFill>
        </w:rPr>
        <w:t> </w:t>
      </w:r>
      <w:r>
        <w:rPr>
          <w:rFonts w:ascii="Verdana" w:hAnsi="Verdana"/>
          <w:outline w:val="0"/>
          <w:color w:val="292929"/>
          <w:sz w:val="18"/>
          <w:szCs w:val="18"/>
          <w:u w:color="000000"/>
          <w:shd w:val="clear" w:color="auto" w:fill="ffffff"/>
          <w:rtl w:val="0"/>
          <w:lang w:val="en-US"/>
          <w14:textFill>
            <w14:solidFill>
              <w14:srgbClr w14:val="292929"/>
            </w14:solidFill>
          </w14:textFill>
        </w:rPr>
        <w:t>to optimise the efficacy of ALLOB by determining the best timing for therapeutic intervention and seeking partners to continue the development of promising underlying therapy strategies.</w:t>
      </w:r>
    </w:p>
    <w:p>
      <w:pPr>
        <w:pStyle w:val="Default"/>
        <w:bidi w:val="0"/>
        <w:spacing w:before="0" w:line="240" w:lineRule="auto"/>
        <w:ind w:left="0" w:right="0" w:firstLine="0"/>
        <w:jc w:val="both"/>
        <w:rPr>
          <w:rtl w:val="0"/>
        </w:rPr>
      </w:pPr>
      <w:r>
        <w:rPr>
          <w:rFonts w:ascii="Verdana" w:hAnsi="Verdana"/>
          <w:outline w:val="0"/>
          <w:color w:val="292929"/>
          <w:sz w:val="18"/>
          <w:szCs w:val="18"/>
          <w:u w:color="000000"/>
          <w:shd w:val="clear" w:color="auto" w:fill="ffffff"/>
          <w:rtl w:val="0"/>
          <w:lang w:val="en-US"/>
          <w14:textFill>
            <w14:solidFill>
              <w14:srgbClr w14:val="292929"/>
            </w14:solidFill>
          </w14:textFill>
        </w:rPr>
        <w:t>The company is also exploring partnerships at all levels for its</w:t>
      </w:r>
      <w:r>
        <w:rPr>
          <w:rFonts w:ascii="Verdana" w:hAnsi="Verdana" w:hint="default"/>
          <w:outline w:val="0"/>
          <w:color w:val="292929"/>
          <w:sz w:val="18"/>
          <w:szCs w:val="18"/>
          <w:u w:color="000000"/>
          <w:shd w:val="clear" w:color="auto" w:fill="ffffff"/>
          <w:rtl w:val="0"/>
          <w:lang w:val="en-US"/>
          <w14:textFill>
            <w14:solidFill>
              <w14:srgbClr w14:val="292929"/>
            </w14:solidFill>
          </w14:textFill>
        </w:rPr>
        <w:t> </w:t>
      </w:r>
      <w:r>
        <w:rPr>
          <w:rFonts w:ascii="Verdana" w:hAnsi="Verdana"/>
          <w:b w:val="1"/>
          <w:bCs w:val="1"/>
          <w:outline w:val="0"/>
          <w:color w:val="292929"/>
          <w:sz w:val="18"/>
          <w:szCs w:val="18"/>
          <w:u w:color="000000"/>
          <w:shd w:val="clear" w:color="auto" w:fill="ffffff"/>
          <w:rtl w:val="0"/>
          <w:lang w:val="en-US"/>
          <w14:textFill>
            <w14:solidFill>
              <w14:srgbClr w14:val="292929"/>
            </w14:solidFill>
          </w14:textFill>
        </w:rPr>
        <w:t>JTA-004</w:t>
      </w:r>
      <w:r>
        <w:rPr>
          <w:rFonts w:ascii="Verdana" w:hAnsi="Verdana"/>
          <w:outline w:val="0"/>
          <w:color w:val="292929"/>
          <w:sz w:val="18"/>
          <w:szCs w:val="18"/>
          <w:u w:color="000000"/>
          <w:shd w:val="clear" w:color="auto" w:fill="ffffff"/>
          <w:rtl w:val="0"/>
          <w:lang w:val="en-US"/>
          <w14:textFill>
            <w14:solidFill>
              <w14:srgbClr w14:val="292929"/>
            </w14:solidFill>
          </w14:textFill>
        </w:rPr>
        <w:t>viscosupplement for a severe inflammatory subtype of osteoarthritis, following a positive post hoc analysis of Phase 3 data demonstrating safety and efficacy in selected osteoarthritic patients in support of any possible licensing.</w:t>
      </w:r>
      <w:r>
        <w:rPr>
          <w:rFonts w:ascii="Verdana" w:cs="Verdana" w:hAnsi="Verdana" w:eastAsia="Verdana"/>
          <w:outline w:val="0"/>
          <w:color w:val="292929"/>
          <w:sz w:val="20"/>
          <w:szCs w:val="20"/>
          <w:u w:color="292929"/>
          <w:rtl w:val="0"/>
          <w:lang w:val="en-US"/>
          <w14:textFill>
            <w14:solidFill>
              <w14:srgbClr w14:val="292929"/>
            </w14:solidFill>
          </w14:textFill>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sz w:val="18"/>
      <w:szCs w:val="18"/>
      <w:u w:val="non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