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Press Release</w:t>
      </w:r>
    </w:p>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fr-FR"/>
        </w:rPr>
        <w:t>IB Communications</w:t>
      </w:r>
    </w:p>
    <w:p>
      <w:pPr>
        <w:pStyle w:val="Default"/>
        <w:suppressAutoHyphens w:val="1"/>
        <w:spacing w:before="0" w:line="240" w:lineRule="auto"/>
        <w:jc w:val="right"/>
        <w:rPr>
          <w:rFonts w:ascii="Verdana" w:cs="Verdana" w:hAnsi="Verdana" w:eastAsia="Verdana"/>
          <w:sz w:val="18"/>
          <w:szCs w:val="18"/>
          <w:shd w:val="clear" w:color="auto" w:fill="ffffff"/>
        </w:rPr>
      </w:pPr>
      <w:r>
        <w:rPr>
          <w:rStyle w:val="Hyperlink.0"/>
          <w:rFonts w:ascii="Verdana" w:cs="Verdana" w:hAnsi="Verdana" w:eastAsia="Verdana"/>
          <w:sz w:val="18"/>
          <w:szCs w:val="18"/>
          <w:shd w:val="clear" w:color="auto" w:fill="ffffff"/>
        </w:rPr>
        <w:fldChar w:fldCharType="begin" w:fldLock="0"/>
      </w:r>
      <w:r>
        <w:rPr>
          <w:rStyle w:val="Hyperlink.0"/>
          <w:rFonts w:ascii="Verdana" w:cs="Verdana" w:hAnsi="Verdana" w:eastAsia="Verdana"/>
          <w:sz w:val="18"/>
          <w:szCs w:val="18"/>
          <w:shd w:val="clear" w:color="auto" w:fill="ffffff"/>
        </w:rPr>
        <w:instrText xml:space="preserve"> HYPERLINK "mailto:vitalant@ibcomms.agency"</w:instrText>
      </w:r>
      <w:r>
        <w:rPr>
          <w:rStyle w:val="Hyperlink.0"/>
          <w:rFonts w:ascii="Verdana" w:cs="Verdana" w:hAnsi="Verdana" w:eastAsia="Verdana"/>
          <w:sz w:val="18"/>
          <w:szCs w:val="18"/>
          <w:shd w:val="clear" w:color="auto" w:fill="ffffff"/>
        </w:rPr>
        <w:fldChar w:fldCharType="separate" w:fldLock="0"/>
      </w:r>
      <w:r>
        <w:rPr>
          <w:rStyle w:val="Hyperlink.0"/>
          <w:rFonts w:ascii="Verdana" w:hAnsi="Verdana"/>
          <w:sz w:val="18"/>
          <w:szCs w:val="18"/>
          <w:shd w:val="clear" w:color="auto" w:fill="ffffff"/>
          <w:rtl w:val="0"/>
          <w:lang w:val="en-US"/>
        </w:rPr>
        <w:t>vitalant@ibcomms.agency</w:t>
      </w:r>
      <w:r>
        <w:rPr>
          <w:rFonts w:ascii="Verdana" w:cs="Verdana" w:hAnsi="Verdana" w:eastAsia="Verdana"/>
          <w:sz w:val="18"/>
          <w:szCs w:val="18"/>
          <w:shd w:val="clear" w:color="auto" w:fill="ffffff"/>
        </w:rPr>
        <w:fldChar w:fldCharType="end" w:fldLock="0"/>
      </w: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Vitalant and San Diego</w:t>
      </w:r>
      <w:r>
        <w:rPr>
          <w:rFonts w:ascii="Verdana" w:hAnsi="Verdana" w:hint="default"/>
          <w:b w:val="1"/>
          <w:bCs w:val="1"/>
          <w:sz w:val="18"/>
          <w:szCs w:val="18"/>
          <w:shd w:val="clear" w:color="auto" w:fill="ffffff"/>
          <w:rtl w:val="0"/>
        </w:rPr>
        <w:t xml:space="preserve">  </w:t>
      </w:r>
      <w:r>
        <w:rPr>
          <w:rFonts w:ascii="Verdana" w:hAnsi="Verdana"/>
          <w:b w:val="1"/>
          <w:bCs w:val="1"/>
          <w:sz w:val="18"/>
          <w:szCs w:val="18"/>
          <w:shd w:val="clear" w:color="auto" w:fill="ffffff"/>
          <w:rtl w:val="0"/>
          <w:lang w:val="en-US"/>
        </w:rPr>
        <w:t>Blood Bank Complete Strategic Merger</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Combination to expand national network capabilities to Southern California, including cell and gene therapy support, cryopreservation, and therapeutic apheresis services</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cs="Verdana" w:hAnsi="Verdana" w:eastAsia="Verdana"/>
          <w:sz w:val="18"/>
          <w:szCs w:val="18"/>
          <w:shd w:val="clear" w:color="auto" w:fill="ffffff"/>
        </w:rPr>
        <w:br w:type="textWrapping"/>
      </w:r>
      <w:r>
        <w:rPr>
          <w:rFonts w:ascii="Verdana" w:hAnsi="Verdana"/>
          <w:b w:val="1"/>
          <w:bCs w:val="1"/>
          <w:sz w:val="18"/>
          <w:szCs w:val="18"/>
          <w:shd w:val="clear" w:color="auto" w:fill="ffffff"/>
          <w:rtl w:val="0"/>
          <w:lang w:val="en-US"/>
        </w:rPr>
        <w:t>Scottsdale, Ariz., USA - May 5, 2026</w:t>
      </w:r>
      <w:r>
        <w:rPr>
          <w:rFonts w:ascii="Verdana" w:hAnsi="Verdana" w:hint="default"/>
          <w:b w:val="1"/>
          <w:bCs w:val="1"/>
          <w:sz w:val="18"/>
          <w:szCs w:val="18"/>
          <w:shd w:val="clear" w:color="auto" w:fill="ffffff"/>
          <w:rtl w:val="0"/>
          <w:lang w:val="ru-RU"/>
        </w:rPr>
        <w:t> — </w:t>
      </w:r>
      <w:r>
        <w:rPr>
          <w:rStyle w:val="Hyperlink.1"/>
          <w:rFonts w:ascii="Verdana" w:cs="Verdana" w:hAnsi="Verdana" w:eastAsia="Verdana"/>
          <w:sz w:val="18"/>
          <w:szCs w:val="18"/>
          <w:shd w:val="clear" w:color="auto" w:fill="ffffff"/>
        </w:rPr>
        <w:fldChar w:fldCharType="begin" w:fldLock="0"/>
      </w:r>
      <w:r>
        <w:rPr>
          <w:rStyle w:val="Hyperlink.1"/>
          <w:rFonts w:ascii="Verdana" w:cs="Verdana" w:hAnsi="Verdana" w:eastAsia="Verdana"/>
          <w:sz w:val="18"/>
          <w:szCs w:val="18"/>
          <w:shd w:val="clear" w:color="auto" w:fill="ffffff"/>
        </w:rPr>
        <w:instrText xml:space="preserve"> HYPERLINK "https://www.vitalanthealth.org/clinical-services/biotherapy/vitalant-biotherapies"</w:instrText>
      </w:r>
      <w:r>
        <w:rPr>
          <w:rStyle w:val="Hyperlink.1"/>
          <w:rFonts w:ascii="Verdana" w:cs="Verdana" w:hAnsi="Verdana" w:eastAsia="Verdana"/>
          <w:sz w:val="18"/>
          <w:szCs w:val="18"/>
          <w:shd w:val="clear" w:color="auto" w:fill="ffffff"/>
        </w:rPr>
        <w:fldChar w:fldCharType="separate" w:fldLock="0"/>
      </w:r>
      <w:r>
        <w:rPr>
          <w:rStyle w:val="Hyperlink.1"/>
          <w:rFonts w:ascii="Verdana" w:hAnsi="Verdana"/>
          <w:sz w:val="18"/>
          <w:szCs w:val="18"/>
          <w:shd w:val="clear" w:color="auto" w:fill="ffffff"/>
          <w:rtl w:val="0"/>
        </w:rPr>
        <w:t>Vitalant</w:t>
      </w:r>
      <w:r>
        <w:rPr>
          <w:rFonts w:ascii="Verdana" w:cs="Verdana" w:hAnsi="Verdana" w:eastAsia="Verdana"/>
          <w:sz w:val="18"/>
          <w:szCs w:val="18"/>
          <w:shd w:val="clear" w:color="auto" w:fill="ffffff"/>
        </w:rPr>
        <w:fldChar w:fldCharType="end" w:fldLock="0"/>
      </w:r>
      <w:r>
        <w:rPr>
          <w:rFonts w:ascii="Verdana" w:hAnsi="Verdana"/>
          <w:sz w:val="18"/>
          <w:szCs w:val="18"/>
          <w:shd w:val="clear" w:color="auto" w:fill="ffffff"/>
          <w:rtl w:val="0"/>
          <w:lang w:val="en-US"/>
        </w:rPr>
        <w:t>, one of the nation</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largest nonprofit blood and biotherapies healthcare organizations,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San Diego Blood Bank have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completed a strategic merger to enhance biotherapies services in Southern California and build a more resilient blood supply.</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The merger brings together two established nonprofit blood organizations, enabling broader operational scale and access to a national infrastructure while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maintaining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strong local engagement in the San Diego community. The combined organization will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leverage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shared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expertise, technology,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logistics capabilities.</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The addition of San Diego Blood Bank to</w:t>
      </w:r>
      <w:r>
        <w:rPr>
          <w:rFonts w:ascii="Verdana" w:hAnsi="Verdana" w:hint="default"/>
          <w:sz w:val="18"/>
          <w:szCs w:val="18"/>
          <w:shd w:val="clear" w:color="auto" w:fill="ffffff"/>
          <w:rtl w:val="0"/>
        </w:rPr>
        <w:t> </w:t>
      </w:r>
      <w:r>
        <w:rPr>
          <w:rFonts w:ascii="Verdana" w:hAnsi="Verdana"/>
          <w:sz w:val="18"/>
          <w:szCs w:val="18"/>
          <w:shd w:val="clear" w:color="auto" w:fill="ffffff"/>
          <w:rtl w:val="0"/>
        </w:rPr>
        <w:t>Vitalant</w:t>
      </w:r>
      <w:r>
        <w:rPr>
          <w:rFonts w:ascii="Verdana" w:hAnsi="Verdana" w:hint="default"/>
          <w:sz w:val="18"/>
          <w:szCs w:val="18"/>
          <w:shd w:val="clear" w:color="auto" w:fill="ffffff"/>
          <w:rtl w:val="1"/>
        </w:rPr>
        <w:t>’</w:t>
      </w:r>
      <w:r>
        <w:rPr>
          <w:rFonts w:ascii="Verdana" w:hAnsi="Verdana"/>
          <w:sz w:val="18"/>
          <w:szCs w:val="18"/>
          <w:shd w:val="clear" w:color="auto" w:fill="ffffff"/>
          <w:rtl w:val="0"/>
        </w:rPr>
        <w: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hub-and-spoke model</w:t>
      </w:r>
      <w:r>
        <w:rPr>
          <w:rStyle w:val="None"/>
          <w:rFonts w:ascii="Verdana" w:hAnsi="Verdana"/>
          <w:sz w:val="18"/>
          <w:szCs w:val="18"/>
          <w:shd w:val="clear" w:color="auto" w:fill="ffffff"/>
          <w:vertAlign w:val="superscript"/>
          <w:rtl w:val="0"/>
        </w:rPr>
        <w:t>1</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for</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expanded access to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advanced therapy delivery provides a robust presence with a well-respected team in Southern California,</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said Becky Cap, senior vice president of biotherapies for</w:t>
      </w:r>
      <w:r>
        <w:rPr>
          <w:rFonts w:ascii="Verdana" w:hAnsi="Verdana" w:hint="default"/>
          <w:sz w:val="18"/>
          <w:szCs w:val="18"/>
          <w:shd w:val="clear" w:color="auto" w:fill="ffffff"/>
          <w:rtl w:val="0"/>
        </w:rPr>
        <w:t> </w:t>
      </w:r>
      <w:r>
        <w:rPr>
          <w:rFonts w:ascii="Verdana" w:hAnsi="Verdana"/>
          <w:sz w:val="18"/>
          <w:szCs w:val="18"/>
          <w:shd w:val="clear" w:color="auto" w:fill="ffffff"/>
          <w:rtl w:val="0"/>
        </w:rPr>
        <w:t xml:space="preserve">Vitalant. </w:t>
      </w: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This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partnership</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provides the</w:t>
      </w:r>
      <w:r>
        <w:rPr>
          <w:rFonts w:ascii="Verdana" w:hAnsi="Verdana" w:hint="default"/>
          <w:sz w:val="18"/>
          <w:szCs w:val="18"/>
          <w:shd w:val="clear" w:color="auto" w:fill="ffffff"/>
          <w:rtl w:val="0"/>
        </w:rPr>
        <w:t> </w:t>
      </w:r>
      <w:r>
        <w:rPr>
          <w:rFonts w:ascii="Verdana" w:hAnsi="Verdana"/>
          <w:sz w:val="18"/>
          <w:szCs w:val="18"/>
          <w:shd w:val="clear" w:color="auto" w:fill="ffffff"/>
          <w:rtl w:val="0"/>
        </w:rPr>
        <w:t>market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with a set of aligned capabilities to reduce the burden of care and bring it closer to where patients live.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It also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represents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another</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important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step</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forward to help enable hospitals to open treatment opportunities for more patients to receive blood and cell-based therapeutics.</w:t>
      </w:r>
      <w:r>
        <w:rPr>
          <w:rFonts w:ascii="Verdana" w:hAnsi="Verdana" w:hint="default"/>
          <w:sz w:val="18"/>
          <w:szCs w:val="18"/>
          <w:shd w:val="clear" w:color="auto" w:fill="ffffff"/>
          <w:rtl w:val="0"/>
        </w:rPr>
        <w:t>”</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Joining forces allows us to maintain our regional strength, which includes the trust of donors and the local community, as well as strong hospital and clinical partnerships, while expanding our impact through access to</w:t>
      </w:r>
      <w:r>
        <w:rPr>
          <w:rFonts w:ascii="Verdana" w:hAnsi="Verdana" w:hint="default"/>
          <w:sz w:val="18"/>
          <w:szCs w:val="18"/>
          <w:shd w:val="clear" w:color="auto" w:fill="ffffff"/>
          <w:rtl w:val="0"/>
        </w:rPr>
        <w:t> </w:t>
      </w:r>
      <w:r>
        <w:rPr>
          <w:rFonts w:ascii="Verdana" w:hAnsi="Verdana"/>
          <w:sz w:val="18"/>
          <w:szCs w:val="18"/>
          <w:shd w:val="clear" w:color="auto" w:fill="ffffff"/>
          <w:rtl w:val="0"/>
        </w:rPr>
        <w:t>Vitalant</w:t>
      </w:r>
      <w:r>
        <w:rPr>
          <w:rFonts w:ascii="Verdana" w:hAnsi="Verdana" w:hint="default"/>
          <w:sz w:val="18"/>
          <w:szCs w:val="18"/>
          <w:shd w:val="clear" w:color="auto" w:fill="ffffff"/>
          <w:rtl w:val="1"/>
        </w:rPr>
        <w:t>’</w:t>
      </w:r>
      <w:r>
        <w:rPr>
          <w:rFonts w:ascii="Verdana" w:hAnsi="Verdana"/>
          <w:sz w:val="18"/>
          <w:szCs w:val="18"/>
          <w:shd w:val="clear" w:color="auto" w:fill="ffffff"/>
          <w:rtl w:val="0"/>
        </w:rPr>
        <w: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broader capabilities,</w:t>
      </w:r>
      <w:r>
        <w:rPr>
          <w:rFonts w:ascii="Verdana" w:hAnsi="Verdana" w:hint="default"/>
          <w:sz w:val="18"/>
          <w:szCs w:val="18"/>
          <w:shd w:val="clear" w:color="auto" w:fill="ffffff"/>
          <w:rtl w:val="0"/>
        </w:rPr>
        <w:t xml:space="preserve">” </w:t>
      </w:r>
      <w:r>
        <w:rPr>
          <w:rFonts w:ascii="Verdana" w:hAnsi="Verdana"/>
          <w:sz w:val="18"/>
          <w:szCs w:val="18"/>
          <w:shd w:val="clear" w:color="auto" w:fill="ffffff"/>
          <w:rtl w:val="0"/>
          <w:lang w:val="en-US"/>
        </w:rPr>
        <w:t>said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Doug Morton, CEO of</w:t>
      </w:r>
      <w:r>
        <w:rPr>
          <w:rFonts w:ascii="Verdana" w:hAnsi="Verdana" w:hint="default"/>
          <w:sz w:val="18"/>
          <w:szCs w:val="18"/>
          <w:shd w:val="clear" w:color="auto" w:fill="ffffff"/>
          <w:rtl w:val="0"/>
        </w:rPr>
        <w:t> </w:t>
      </w:r>
      <w:r>
        <w:rPr>
          <w:rFonts w:ascii="Verdana" w:hAnsi="Verdana"/>
          <w:sz w:val="18"/>
          <w:szCs w:val="18"/>
          <w:shd w:val="clear" w:color="auto" w:fill="ffffff"/>
          <w:rtl w:val="0"/>
          <w:lang w:val="nl-NL"/>
        </w:rPr>
        <w:t xml:space="preserve">San Diego Blood Bank. </w:t>
      </w: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Our highly engaged donor base, skilled team</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regional relationships perfectly complement the enhanced operational support and expansive reach of</w:t>
      </w:r>
      <w:r>
        <w:rPr>
          <w:rFonts w:ascii="Verdana" w:hAnsi="Verdana" w:hint="default"/>
          <w:sz w:val="18"/>
          <w:szCs w:val="18"/>
          <w:shd w:val="clear" w:color="auto" w:fill="ffffff"/>
          <w:rtl w:val="0"/>
        </w:rPr>
        <w:t> </w:t>
      </w:r>
      <w:r>
        <w:rPr>
          <w:rFonts w:ascii="Verdana" w:hAnsi="Verdana"/>
          <w:sz w:val="18"/>
          <w:szCs w:val="18"/>
          <w:shd w:val="clear" w:color="auto" w:fill="ffffff"/>
          <w:rtl w:val="0"/>
        </w:rPr>
        <w:t>Vitalant</w:t>
      </w:r>
      <w:r>
        <w:rPr>
          <w:rFonts w:ascii="Verdana" w:hAnsi="Verdana" w:hint="default"/>
          <w:sz w:val="18"/>
          <w:szCs w:val="18"/>
          <w:shd w:val="clear" w:color="auto" w:fill="ffffff"/>
          <w:rtl w:val="1"/>
        </w:rPr>
        <w:t>’</w:t>
      </w:r>
      <w:r>
        <w:rPr>
          <w:rFonts w:ascii="Verdana" w:hAnsi="Verdana"/>
          <w:sz w:val="18"/>
          <w:szCs w:val="18"/>
          <w:shd w:val="clear" w:color="auto" w:fill="ffffff"/>
          <w:rtl w:val="0"/>
        </w:rPr>
        <w: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netwo</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sz w:val="18"/>
          <w:szCs w:val="18"/>
          <w:shd w:val="clear" w:color="auto" w:fill="ffffff"/>
          <w:rtl w:val="0"/>
          <w:lang w:val="en-US"/>
        </w:rPr>
        <w:t>rk.</w:t>
      </w:r>
      <w:r>
        <w:rPr>
          <w:rFonts w:ascii="Verdana" w:hAnsi="Verdana" w:hint="default"/>
          <w:sz w:val="18"/>
          <w:szCs w:val="18"/>
          <w:shd w:val="clear" w:color="auto" w:fill="ffffff"/>
          <w:rtl w:val="0"/>
        </w:rPr>
        <w:t>”</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New and expanded services coming to the San Diego region will include;</w:t>
      </w:r>
    </w:p>
    <w:p>
      <w:pPr>
        <w:pStyle w:val="Default"/>
        <w:numPr>
          <w:ilvl w:val="0"/>
          <w:numId w:val="2"/>
        </w:numPr>
        <w:suppressAutoHyphens w:val="1"/>
        <w:spacing w:before="0" w:line="240" w:lineRule="auto"/>
        <w:jc w:val="left"/>
        <w:rPr>
          <w:rFonts w:ascii="Verdana" w:hAnsi="Verdana"/>
          <w:sz w:val="18"/>
          <w:szCs w:val="18"/>
          <w:shd w:val="clear" w:color="auto" w:fill="ffffff"/>
          <w:lang w:val="en-US"/>
        </w:rPr>
      </w:pPr>
      <w:r>
        <w:rPr>
          <w:rStyle w:val="Hyperlink.1"/>
          <w:rFonts w:ascii="Verdana" w:hAnsi="Verdana"/>
          <w:sz w:val="18"/>
          <w:szCs w:val="18"/>
          <w:shd w:val="clear" w:color="auto" w:fill="ffffff"/>
          <w:rtl w:val="0"/>
          <w:lang w:val="en-US"/>
        </w:rPr>
        <w:t>Full support for the patient journey</w:t>
      </w:r>
      <w:r>
        <w:rPr>
          <w:rFonts w:ascii="Verdana" w:hAnsi="Verdana"/>
          <w:sz w:val="18"/>
          <w:szCs w:val="18"/>
          <w:shd w:val="clear" w:color="auto" w:fill="ffffff"/>
          <w:rtl w:val="0"/>
        </w:rPr>
        <w: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including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coordination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logistics from the first mile of patient donation to the last mile of therapy delivery.</w:t>
      </w:r>
    </w:p>
    <w:p>
      <w:pPr>
        <w:pStyle w:val="Default"/>
        <w:numPr>
          <w:ilvl w:val="0"/>
          <w:numId w:val="2"/>
        </w:numPr>
        <w:suppressAutoHyphens w:val="1"/>
        <w:spacing w:before="0" w:line="240" w:lineRule="auto"/>
        <w:jc w:val="left"/>
        <w:rPr>
          <w:rFonts w:ascii="Verdana" w:hAnsi="Verdana"/>
          <w:sz w:val="18"/>
          <w:szCs w:val="18"/>
          <w:shd w:val="clear" w:color="auto" w:fill="ffffff"/>
          <w:lang w:val="en-US"/>
        </w:rPr>
      </w:pPr>
      <w:r>
        <w:rPr>
          <w:rStyle w:val="Hyperlink.1"/>
          <w:rFonts w:ascii="Verdana" w:hAnsi="Verdana"/>
          <w:sz w:val="18"/>
          <w:szCs w:val="18"/>
          <w:shd w:val="clear" w:color="auto" w:fill="ffffff"/>
          <w:rtl w:val="0"/>
          <w:lang w:val="en-US"/>
        </w:rPr>
        <w:t>Cell and gene therapy collections</w:t>
      </w:r>
      <w:r>
        <w:rPr>
          <w:rFonts w:ascii="Verdana" w:hAnsi="Verdana"/>
          <w:sz w:val="18"/>
          <w:szCs w:val="18"/>
          <w:shd w:val="clear" w:color="auto" w:fill="ffffff"/>
          <w:rtl w:val="0"/>
          <w:lang w:val="en-US"/>
        </w:rPr>
        <w:t>, such as autologous and allogeneic leukapheresis collections, and clinical trial support.</w:t>
      </w:r>
    </w:p>
    <w:p>
      <w:pPr>
        <w:pStyle w:val="Default"/>
        <w:numPr>
          <w:ilvl w:val="0"/>
          <w:numId w:val="2"/>
        </w:numPr>
        <w:suppressAutoHyphens w:val="1"/>
        <w:spacing w:before="0" w:line="240" w:lineRule="auto"/>
        <w:jc w:val="left"/>
        <w:rPr>
          <w:rFonts w:ascii="Verdana" w:hAnsi="Verdana"/>
          <w:sz w:val="18"/>
          <w:szCs w:val="18"/>
          <w:shd w:val="clear" w:color="auto" w:fill="ffffff"/>
          <w:lang w:val="en-US"/>
        </w:rPr>
      </w:pPr>
      <w:r>
        <w:rPr>
          <w:rStyle w:val="Hyperlink.1"/>
          <w:rFonts w:ascii="Verdana" w:hAnsi="Verdana"/>
          <w:sz w:val="18"/>
          <w:szCs w:val="18"/>
          <w:shd w:val="clear" w:color="auto" w:fill="ffffff"/>
          <w:rtl w:val="0"/>
          <w:lang w:val="en-US"/>
        </w:rPr>
        <w:t>Cryopreservation and processing services,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including product preservation, processing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nl-NL"/>
        </w:rPr>
        <w:t>coordination</w:t>
      </w:r>
      <w:r>
        <w:rPr>
          <w:rFonts w:ascii="Verdana" w:hAnsi="Verdana" w:hint="default"/>
          <w:sz w:val="18"/>
          <w:szCs w:val="18"/>
          <w:shd w:val="clear" w:color="auto" w:fill="ffffff"/>
          <w:rtl w:val="0"/>
        </w:rPr>
        <w:t> </w:t>
      </w:r>
      <w:r>
        <w:rPr>
          <w:rFonts w:ascii="Verdana" w:hAnsi="Verdana"/>
          <w:sz w:val="18"/>
          <w:szCs w:val="18"/>
          <w:shd w:val="clear" w:color="auto" w:fill="ffffff"/>
          <w:rtl w:val="0"/>
        </w:rPr>
        <w:t>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logistics alignment for cell therapies.</w:t>
      </w:r>
    </w:p>
    <w:p>
      <w:pPr>
        <w:pStyle w:val="Default"/>
        <w:numPr>
          <w:ilvl w:val="0"/>
          <w:numId w:val="2"/>
        </w:numPr>
        <w:suppressAutoHyphens w:val="1"/>
        <w:spacing w:before="0" w:line="240" w:lineRule="auto"/>
        <w:jc w:val="left"/>
        <w:rPr>
          <w:rFonts w:ascii="Verdana" w:hAnsi="Verdana"/>
          <w:sz w:val="18"/>
          <w:szCs w:val="18"/>
          <w:shd w:val="clear" w:color="auto" w:fill="ffffff"/>
          <w:lang w:val="en-US"/>
        </w:rPr>
      </w:pPr>
      <w:r>
        <w:rPr>
          <w:rStyle w:val="Hyperlink.1"/>
          <w:rFonts w:ascii="Verdana" w:hAnsi="Verdana"/>
          <w:sz w:val="18"/>
          <w:szCs w:val="18"/>
          <w:shd w:val="clear" w:color="auto" w:fill="ffffff"/>
          <w:rtl w:val="0"/>
          <w:lang w:val="en-US"/>
        </w:rPr>
        <w:t>Granulocyte access and specialty products,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including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rare blood products, critical care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support and an expanded product portfolio.</w:t>
      </w:r>
    </w:p>
    <w:p>
      <w:pPr>
        <w:pStyle w:val="Default"/>
        <w:numPr>
          <w:ilvl w:val="0"/>
          <w:numId w:val="2"/>
        </w:numPr>
        <w:suppressAutoHyphens w:val="1"/>
        <w:spacing w:before="0" w:line="240" w:lineRule="auto"/>
        <w:jc w:val="left"/>
        <w:rPr>
          <w:rFonts w:ascii="Verdana" w:hAnsi="Verdana"/>
          <w:sz w:val="18"/>
          <w:szCs w:val="18"/>
          <w:shd w:val="clear" w:color="auto" w:fill="ffffff"/>
          <w:lang w:val="en-US"/>
        </w:rPr>
      </w:pPr>
      <w:r>
        <w:rPr>
          <w:rStyle w:val="Hyperlink.1"/>
          <w:rFonts w:ascii="Verdana" w:hAnsi="Verdana"/>
          <w:sz w:val="18"/>
          <w:szCs w:val="18"/>
          <w:shd w:val="clear" w:color="auto" w:fill="ffffff"/>
          <w:rtl w:val="0"/>
          <w:lang w:val="en-US"/>
        </w:rPr>
        <w:t>Advanced therapeutic procedures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including plasma exchange, red cell exchange, and support for hematology, neurology, and transplant pathways.</w:t>
      </w:r>
    </w:p>
    <w:p>
      <w:pPr>
        <w:pStyle w:val="Default"/>
        <w:suppressAutoHyphens w:val="1"/>
        <w:spacing w:before="0" w:line="240" w:lineRule="auto"/>
        <w:jc w:val="both"/>
        <w:rPr>
          <w:rStyle w:val="None"/>
          <w:rFonts w:ascii="Verdana" w:cs="Verdana" w:hAnsi="Verdana" w:eastAsia="Verdana"/>
          <w:sz w:val="18"/>
          <w:szCs w:val="18"/>
          <w:shd w:val="clear" w:color="auto" w:fill="ffffff"/>
        </w:rPr>
      </w:pP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Style w:val="Hyperlink.1"/>
          <w:rFonts w:ascii="Verdana" w:hAnsi="Verdana"/>
          <w:sz w:val="18"/>
          <w:szCs w:val="18"/>
          <w:shd w:val="clear" w:color="auto" w:fill="ffffff"/>
          <w:rtl w:val="0"/>
          <w:lang w:val="en-US"/>
        </w:rPr>
        <w:t>About Vitalant</w:t>
      </w:r>
      <w:r>
        <w:rPr>
          <w:rFonts w:ascii="Verdana" w:hAnsi="Verdana" w:hint="default"/>
          <w:sz w:val="18"/>
          <w:szCs w:val="18"/>
          <w:shd w:val="clear" w:color="auto" w:fill="ffffff"/>
          <w:rtl w:val="0"/>
        </w:rPr>
        <w:t> </w:t>
        <w:br w:type="textWrapping"/>
      </w:r>
      <w:r>
        <w:rPr>
          <w:rFonts w:ascii="Verdana" w:hAnsi="Verdana"/>
          <w:sz w:val="18"/>
          <w:szCs w:val="18"/>
          <w:shd w:val="clear" w:color="auto" w:fill="ffffff"/>
          <w:rtl w:val="0"/>
        </w:rPr>
        <w:t>Vitalant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is one of the nation</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largest nonprofit blood and biotherapies healthcare organizations, providing hospitals and patients across the U.S. a safe blood supply, specialized laboratory services, transfusion medicine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expertise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world-renowned research.</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Our</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biotherapies program addresses a critical gap in the rapidly evolving cell and gene therapy landscape, bridging the space between patient needs and the current capabilities of the healthcare environment. We connect hospitals, therapeutic</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developers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patients, enabling the delivery of care to the communities where patients live. Learn more at</w:t>
      </w:r>
      <w:r>
        <w:rPr>
          <w:rFonts w:ascii="Verdana" w:hAnsi="Verdana" w:hint="default"/>
          <w:sz w:val="18"/>
          <w:szCs w:val="18"/>
          <w:shd w:val="clear" w:color="auto" w:fill="ffffff"/>
          <w:rtl w:val="0"/>
        </w:rPr>
        <w:t>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"https://www.vitalanthealth.org/clinical-services/biotherapy/vitalant-biotherapies"</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lang w:val="en-US"/>
        </w:rPr>
        <w:t>biotherapies.vitalanthealth.org</w:t>
      </w:r>
      <w:r>
        <w:rPr>
          <w:rFonts w:ascii="Verdana" w:cs="Verdana" w:hAnsi="Verdana" w:eastAsia="Verdana"/>
          <w:sz w:val="18"/>
          <w:szCs w:val="18"/>
          <w:shd w:val="clear" w:color="auto" w:fill="ffffff"/>
        </w:rPr>
        <w:fldChar w:fldCharType="end" w:fldLock="0"/>
      </w:r>
      <w:r>
        <w:rPr>
          <w:rFonts w:ascii="Verdana" w:hAnsi="Verdana"/>
          <w:sz w:val="18"/>
          <w:szCs w:val="18"/>
          <w:shd w:val="clear" w:color="auto" w:fill="ffffff"/>
          <w:rtl w:val="0"/>
        </w:rPr>
        <w:t>.</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pPr>
      <w:r>
        <w:rPr>
          <w:rStyle w:val="Hyperlink.1"/>
          <w:rFonts w:ascii="Verdana" w:hAnsi="Verdana"/>
          <w:sz w:val="18"/>
          <w:szCs w:val="18"/>
          <w:shd w:val="clear" w:color="auto" w:fill="ffffff"/>
          <w:rtl w:val="0"/>
          <w:lang w:val="en-US"/>
        </w:rPr>
        <w:t>About San Diego Blood Bank</w:t>
      </w:r>
      <w:r>
        <w:rPr>
          <w:rFonts w:ascii="Verdana" w:hAnsi="Verdana" w:hint="default"/>
          <w:sz w:val="18"/>
          <w:szCs w:val="18"/>
          <w:shd w:val="clear" w:color="auto" w:fill="ffffff"/>
          <w:rtl w:val="0"/>
        </w:rPr>
        <w:t> </w:t>
        <w:br w:type="textWrapping"/>
      </w:r>
      <w:r>
        <w:rPr>
          <w:rFonts w:ascii="Verdana" w:hAnsi="Verdana"/>
          <w:sz w:val="18"/>
          <w:szCs w:val="18"/>
          <w:shd w:val="clear" w:color="auto" w:fill="ffffff"/>
          <w:rtl w:val="0"/>
          <w:lang w:val="en-US"/>
        </w:rPr>
        <w:t>San Diego Blood Bank is a 501(c)(3) nonprofit organization also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operating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as Southern California Blood Bank, serving hospitals throughout Southern California.</w:t>
      </w:r>
      <w:r>
        <w:rPr>
          <w:rFonts w:ascii="Arial Unicode MS" w:cs="Arial Unicode MS" w:hAnsi="Arial Unicode MS" w:eastAsia="Arial Unicode MS" w:hint="default"/>
          <w:b w:val="0"/>
          <w:bCs w:val="0"/>
          <w:i w:val="0"/>
          <w:iCs w:val="0"/>
          <w:sz w:val="18"/>
          <w:szCs w:val="18"/>
          <w:shd w:val="clear" w:color="auto" w:fill="ffffff"/>
          <w:rtl w:val="0"/>
          <w:lang w:val="fr-FR"/>
        </w:rPr>
        <w:t> </w:t>
      </w:r>
      <w:r>
        <w:rPr>
          <w:rFonts w:ascii="Verdana" w:hAnsi="Verdana"/>
          <w:sz w:val="18"/>
          <w:szCs w:val="18"/>
          <w:shd w:val="clear" w:color="auto" w:fill="ffffff"/>
          <w:rtl w:val="0"/>
          <w:lang w:val="en-US"/>
        </w:rPr>
        <w:t>San Diego Blood Bank is dedicated to community health by providing a reliable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blood supply</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to patients in need. Our vision is to further ensure the health of our community by simultaneously delivering related health and wellness education and services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collaborating with various partners in medical research. For more information, visit</w:t>
      </w:r>
      <w:r>
        <w:rPr>
          <w:rFonts w:ascii="Verdana" w:hAnsi="Verdana" w:hint="default"/>
          <w:sz w:val="18"/>
          <w:szCs w:val="18"/>
          <w:shd w:val="clear" w:color="auto" w:fill="ffffff"/>
          <w:rtl w:val="0"/>
        </w:rPr>
        <w:t>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"https://sandiegobloodbank.org/"</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lang w:val="nl-NL"/>
        </w:rPr>
        <w:t>sandiegobloodbank.org</w:t>
      </w:r>
      <w:r>
        <w:rPr>
          <w:rFonts w:ascii="Verdana" w:cs="Verdana" w:hAnsi="Verdana" w:eastAsia="Verdana"/>
          <w:sz w:val="18"/>
          <w:szCs w:val="18"/>
          <w:shd w:val="clear" w:color="auto" w:fill="ffffff"/>
        </w:rPr>
        <w:fldChar w:fldCharType="end" w:fldLock="0"/>
      </w:r>
      <w:r>
        <w:rPr>
          <w:rFonts w:ascii="Verdana" w:hAnsi="Verdana"/>
          <w:sz w:val="18"/>
          <w:szCs w:val="18"/>
          <w:shd w:val="clear" w:color="auto" w:fill="ffffff"/>
          <w:rtl w:val="0"/>
        </w:rPr>
        <w:t>.</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Big"/>
  </w:abstractNum>
  <w:abstractNum w:abstractNumId="1">
    <w:multiLevelType w:val="hybridMultilevel"/>
    <w:styleLink w:val="Bullet Big"/>
    <w:lvl w:ilvl="0">
      <w:start w:val="1"/>
      <w:numFmt w:val="bullet"/>
      <w:suff w:val="tab"/>
      <w:lvlText w:val="◦"/>
      <w:lvlJc w:val="left"/>
      <w:pPr>
        <w:ind w:left="720" w:hanging="500"/>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1">
      <w:start w:val="1"/>
      <w:numFmt w:val="bullet"/>
      <w:suff w:val="tab"/>
      <w:lvlText w:val="◦"/>
      <w:lvlJc w:val="left"/>
      <w:pPr>
        <w:ind w:left="77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2">
      <w:start w:val="1"/>
      <w:numFmt w:val="bullet"/>
      <w:suff w:val="tab"/>
      <w:lvlText w:val="◦"/>
      <w:lvlJc w:val="left"/>
      <w:pPr>
        <w:ind w:left="99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3">
      <w:start w:val="1"/>
      <w:numFmt w:val="bullet"/>
      <w:suff w:val="tab"/>
      <w:lvlText w:val="◦"/>
      <w:lvlJc w:val="left"/>
      <w:pPr>
        <w:ind w:left="121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4">
      <w:start w:val="1"/>
      <w:numFmt w:val="bullet"/>
      <w:suff w:val="tab"/>
      <w:lvlText w:val="◦"/>
      <w:lvlJc w:val="left"/>
      <w:pPr>
        <w:ind w:left="143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5">
      <w:start w:val="1"/>
      <w:numFmt w:val="bullet"/>
      <w:suff w:val="tab"/>
      <w:lvlText w:val="◦"/>
      <w:lvlJc w:val="left"/>
      <w:pPr>
        <w:ind w:left="165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6">
      <w:start w:val="1"/>
      <w:numFmt w:val="bullet"/>
      <w:suff w:val="tab"/>
      <w:lvlText w:val="◦"/>
      <w:lvlJc w:val="left"/>
      <w:pPr>
        <w:ind w:left="187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7">
      <w:start w:val="1"/>
      <w:numFmt w:val="bullet"/>
      <w:suff w:val="tab"/>
      <w:lvlText w:val="◦"/>
      <w:lvlJc w:val="left"/>
      <w:pPr>
        <w:ind w:left="209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lvl w:ilvl="8">
      <w:start w:val="1"/>
      <w:numFmt w:val="bullet"/>
      <w:suff w:val="tab"/>
      <w:lvlText w:val="◦"/>
      <w:lvlJc w:val="left"/>
      <w:pPr>
        <w:ind w:left="2318" w:hanging="338"/>
      </w:pPr>
      <w:rPr>
        <w:rFonts w:ascii="Verdana" w:cs="Verdana" w:hAnsi="Verdana" w:eastAsia="Verdana"/>
        <w:b w:val="1"/>
        <w:bCs w:val="1"/>
        <w:i w:val="0"/>
        <w:iCs w:val="0"/>
        <w:caps w:val="0"/>
        <w:smallCaps w:val="0"/>
        <w:strike w:val="0"/>
        <w:dstrike w:val="0"/>
        <w:outline w:val="0"/>
        <w:emboss w:val="0"/>
        <w:imprint w:val="0"/>
        <w:color w:val="131317"/>
        <w:spacing w:val="0"/>
        <w:w w:val="100"/>
        <w:kern w:val="0"/>
        <w:position w:val="0"/>
        <w:sz w:val="22"/>
        <w:szCs w:val="2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 w:type="numbering" w:styleId="Bullet Big">
    <w:name w:val="Bullet Bi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