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spacing w:after="266"/>
        <w:jc w:val="left"/>
        <w:rPr>
          <w:rFonts w:ascii="Verdana" w:cs="Verdana" w:hAnsi="Verdana" w:eastAsia="Verdana"/>
          <w:b w:val="0"/>
          <w:bCs w:val="0"/>
          <w:sz w:val="18"/>
          <w:szCs w:val="18"/>
        </w:rPr>
      </w:pPr>
      <w:r>
        <w:rPr>
          <w:rFonts w:ascii="Verdana" w:hAnsi="Verdana"/>
          <w:b w:val="1"/>
          <w:bCs w:val="1"/>
          <w:sz w:val="18"/>
          <w:szCs w:val="18"/>
          <w:rtl w:val="0"/>
          <w:lang w:val="en-US"/>
        </w:rPr>
        <w:t>University of Chicago School of Medicine achieves first-ever automated 3-in-1 TCR-T manufacturing on Terumo Blood and Cell Technologies Quantum Flex Bioreactor</w:t>
      </w:r>
    </w:p>
    <w:p>
      <w:pPr>
        <w:pStyle w:val="Table Style 2"/>
        <w:suppressAutoHyphens w:val="1"/>
        <w:spacing w:after="266"/>
        <w:jc w:val="left"/>
        <w:rPr>
          <w:rFonts w:ascii="Verdana" w:cs="Verdana" w:hAnsi="Verdana" w:eastAsia="Verdana"/>
          <w:i w:val="0"/>
          <w:iCs w:val="0"/>
          <w:sz w:val="18"/>
          <w:szCs w:val="18"/>
        </w:rPr>
      </w:pPr>
      <w:r>
        <w:rPr>
          <w:rFonts w:ascii="Verdana" w:hAnsi="Verdana"/>
          <w:i w:val="1"/>
          <w:iCs w:val="1"/>
          <w:sz w:val="18"/>
          <w:szCs w:val="18"/>
          <w:rtl w:val="0"/>
          <w:lang w:val="en-US"/>
        </w:rPr>
        <w:t>Streamlined activation, transduction and expansion on a single closed, GMP-compliant platform could accelerate development of next-generation T cell therapies.</w:t>
      </w:r>
    </w:p>
    <w:p>
      <w:pPr>
        <w:pStyle w:val="Table Style 2"/>
        <w:suppressAutoHyphens w:val="1"/>
        <w:spacing w:after="266"/>
        <w:jc w:val="left"/>
        <w:rPr>
          <w:rFonts w:ascii="Verdana" w:cs="Verdana" w:hAnsi="Verdana" w:eastAsia="Verdana"/>
          <w:sz w:val="18"/>
          <w:szCs w:val="18"/>
        </w:rPr>
      </w:pPr>
      <w:r>
        <w:rPr>
          <w:rFonts w:ascii="Verdana" w:hAnsi="Verdana"/>
          <w:b w:val="1"/>
          <w:bCs w:val="1"/>
          <w:sz w:val="18"/>
          <w:szCs w:val="18"/>
          <w:rtl w:val="0"/>
          <w:lang w:val="en-US"/>
        </w:rPr>
        <w:t xml:space="preserve">Lakewood, Colorado </w:t>
      </w:r>
      <w:r>
        <w:rPr>
          <w:rFonts w:ascii="Verdana" w:hAnsi="Verdana" w:hint="default"/>
          <w:b w:val="1"/>
          <w:bCs w:val="1"/>
          <w:sz w:val="18"/>
          <w:szCs w:val="18"/>
          <w:rtl w:val="0"/>
          <w:lang w:val="en-US"/>
        </w:rPr>
        <w:t xml:space="preserve">— </w:t>
      </w:r>
      <w:r>
        <w:rPr>
          <w:rFonts w:ascii="Verdana" w:hAnsi="Verdana"/>
          <w:b w:val="1"/>
          <w:bCs w:val="1"/>
          <w:sz w:val="18"/>
          <w:szCs w:val="18"/>
          <w:rtl w:val="0"/>
        </w:rPr>
        <w:t>November 18, 2025</w:t>
      </w:r>
      <w:r>
        <w:rPr>
          <w:rFonts w:ascii="Verdana" w:hAnsi="Verdana" w:hint="default"/>
          <w:sz w:val="18"/>
          <w:szCs w:val="18"/>
          <w:rtl w:val="0"/>
          <w:lang w:val="en-US"/>
        </w:rPr>
        <w:t xml:space="preserve"> — </w:t>
      </w:r>
      <w:r>
        <w:rPr>
          <w:rFonts w:ascii="Verdana" w:hAnsi="Verdana"/>
          <w:sz w:val="18"/>
          <w:szCs w:val="18"/>
          <w:rtl w:val="0"/>
          <w:lang w:val="en-US"/>
        </w:rPr>
        <w:t xml:space="preserve">Terumo Blood and Cell Technologies (Terumo BCT), a global leader in cell and gene therapy technologies, today announced an advancement in T cell therapy manufacturing in a collaboration with Richard Koya, M.D., Ph.D., and his team at University of Chicago. For the first time, researchers have successfully completed all three critical steps in T cell receptor (TCR) T cell therapy (TCR-T) manufacturing </w:t>
      </w:r>
      <w:r>
        <w:rPr>
          <w:rFonts w:ascii="Verdana" w:hAnsi="Verdana" w:hint="default"/>
          <w:sz w:val="18"/>
          <w:szCs w:val="18"/>
          <w:rtl w:val="0"/>
          <w:lang w:val="en-US"/>
        </w:rPr>
        <w:t xml:space="preserve">— </w:t>
      </w:r>
      <w:r>
        <w:rPr>
          <w:rFonts w:ascii="Verdana" w:hAnsi="Verdana"/>
          <w:sz w:val="18"/>
          <w:szCs w:val="18"/>
          <w:rtl w:val="0"/>
          <w:lang w:val="en-US"/>
        </w:rPr>
        <w:t xml:space="preserve">activation, transduction and expansion </w:t>
      </w:r>
      <w:r>
        <w:rPr>
          <w:rFonts w:ascii="Verdana" w:hAnsi="Verdana" w:hint="default"/>
          <w:sz w:val="18"/>
          <w:szCs w:val="18"/>
          <w:rtl w:val="0"/>
          <w:lang w:val="en-US"/>
        </w:rPr>
        <w:t xml:space="preserve">— </w:t>
      </w:r>
      <w:r>
        <w:rPr>
          <w:rFonts w:ascii="Verdana" w:hAnsi="Verdana"/>
          <w:sz w:val="18"/>
          <w:szCs w:val="18"/>
          <w:rtl w:val="0"/>
          <w:lang w:val="en-US"/>
        </w:rPr>
        <w:t>using a single Quantum Flex</w:t>
      </w:r>
      <w:r>
        <w:rPr>
          <w:rFonts w:ascii="Verdana" w:hAnsi="Verdana" w:hint="default"/>
          <w:sz w:val="18"/>
          <w:szCs w:val="18"/>
          <w:vertAlign w:val="superscript"/>
          <w:rtl w:val="0"/>
        </w:rPr>
        <w:t>™</w:t>
      </w:r>
      <w:r>
        <w:rPr>
          <w:rFonts w:ascii="Verdana" w:hAnsi="Verdana"/>
          <w:sz w:val="18"/>
          <w:szCs w:val="18"/>
          <w:rtl w:val="0"/>
          <w:lang w:val="en-US"/>
        </w:rPr>
        <w:t xml:space="preserve"> Cell Expansion System small bioreactor.</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This end-to-end automated process offers a comprehensive alternative to fragmented, manual workflows with a closed, GMP-friendly workflow that promises to accelerate processing timelines, improve consistency and reduce costs for autologous T cell-based therapies.</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In the study, 10 million peripheral blood mononuclear cells (PBMCs) were activated, transduced with a gamma retroviral vector and expanded on Quantum Flex to up to 9 billion cells in 10 days while maintaining high viability. These results highlight the Quantum Flex platform's robustness, scalability and suitability for clinical and commercial workflows.</w:t>
      </w:r>
    </w:p>
    <w:p>
      <w:pPr>
        <w:pStyle w:val="Table Style 2"/>
        <w:suppressAutoHyphens w:val="1"/>
        <w:spacing w:after="266"/>
        <w:jc w:val="left"/>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The ability to automate TCR-T cell processing end-to-end on a single bioreactor is a foundational advance in the evolution of cell therapy manufacturing,</w:t>
      </w:r>
      <w:r>
        <w:rPr>
          <w:rFonts w:ascii="Verdana" w:hAnsi="Verdana" w:hint="default"/>
          <w:sz w:val="18"/>
          <w:szCs w:val="18"/>
          <w:rtl w:val="0"/>
        </w:rPr>
        <w:t xml:space="preserve">” </w:t>
      </w:r>
      <w:r>
        <w:rPr>
          <w:rFonts w:ascii="Verdana" w:hAnsi="Verdana"/>
          <w:sz w:val="18"/>
          <w:szCs w:val="18"/>
          <w:rtl w:val="0"/>
          <w:lang w:val="en-US"/>
        </w:rPr>
        <w:t>said Dr. Koya, Professor of Medicine and Director of cGMP Vector Development and Production a</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t the University of Chicago</w:t>
      </w:r>
      <w:r>
        <w:rPr>
          <w:rFonts w:ascii="Verdana" w:hAnsi="Verdana" w:hint="default"/>
          <w:sz w:val="18"/>
          <w:szCs w:val="18"/>
          <w:rtl w:val="1"/>
        </w:rPr>
        <w:t>’</w:t>
      </w:r>
      <w:r>
        <w:rPr>
          <w:rFonts w:ascii="Verdana" w:hAnsi="Verdana"/>
          <w:sz w:val="18"/>
          <w:szCs w:val="18"/>
          <w:rtl w:val="0"/>
        </w:rPr>
        <w:t>s Cancer Center.</w:t>
      </w:r>
    </w:p>
    <w:p>
      <w:pPr>
        <w:pStyle w:val="Table Style 2"/>
        <w:suppressAutoHyphens w:val="1"/>
        <w:spacing w:after="266"/>
        <w:jc w:val="left"/>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It opens the door to faster, more consistent manufacturing for therapies that could benefit patients with solid tumors and other hard-to-treat diseases,</w:t>
      </w:r>
      <w:r>
        <w:rPr>
          <w:rFonts w:ascii="Verdana" w:hAnsi="Verdana" w:hint="default"/>
          <w:sz w:val="18"/>
          <w:szCs w:val="18"/>
          <w:rtl w:val="0"/>
        </w:rPr>
        <w:t xml:space="preserve">” </w:t>
      </w:r>
      <w:r>
        <w:rPr>
          <w:rFonts w:ascii="Verdana" w:hAnsi="Verdana"/>
          <w:sz w:val="18"/>
          <w:szCs w:val="18"/>
          <w:rtl w:val="0"/>
          <w:lang w:val="en-US"/>
        </w:rPr>
        <w:t>added Dr. Thinle Chodon, M.D., Ph.D., Co-Director of the Cellular and Tissue Based Processing cGMP Core Facility at the University of Chicago and co-investigator of the study.</w:t>
      </w:r>
    </w:p>
    <w:p>
      <w:pPr>
        <w:pStyle w:val="Table Style 2"/>
        <w:suppressAutoHyphens w:val="1"/>
        <w:spacing w:after="266"/>
        <w:jc w:val="left"/>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With Quantum Flex, we are building on our proven 3-in-1 CAR-T protocol to show the platform</w:t>
      </w:r>
      <w:r>
        <w:rPr>
          <w:rFonts w:ascii="Verdana" w:hAnsi="Verdana" w:hint="default"/>
          <w:sz w:val="18"/>
          <w:szCs w:val="18"/>
          <w:rtl w:val="1"/>
        </w:rPr>
        <w:t>’</w:t>
      </w:r>
      <w:r>
        <w:rPr>
          <w:rFonts w:ascii="Verdana" w:hAnsi="Verdana"/>
          <w:sz w:val="18"/>
          <w:szCs w:val="18"/>
          <w:rtl w:val="0"/>
          <w:lang w:val="en-US"/>
        </w:rPr>
        <w:t>s flexibility and applicability across multiple T cell modalities,</w:t>
      </w:r>
      <w:r>
        <w:rPr>
          <w:rFonts w:ascii="Verdana" w:hAnsi="Verdana" w:hint="default"/>
          <w:sz w:val="18"/>
          <w:szCs w:val="18"/>
          <w:rtl w:val="0"/>
        </w:rPr>
        <w:t xml:space="preserve">” </w:t>
      </w:r>
      <w:r>
        <w:rPr>
          <w:rFonts w:ascii="Verdana" w:hAnsi="Verdana"/>
          <w:sz w:val="18"/>
          <w:szCs w:val="18"/>
          <w:rtl w:val="0"/>
          <w:lang w:val="en-US"/>
        </w:rPr>
        <w:t xml:space="preserve">said Mindy Miller, Ph.D., Head of Scientific Development for Cell Therapy at Terumo BCT. </w:t>
      </w:r>
      <w:r>
        <w:rPr>
          <w:rFonts w:ascii="Verdana" w:hAnsi="Verdana" w:hint="default"/>
          <w:sz w:val="18"/>
          <w:szCs w:val="18"/>
          <w:rtl w:val="1"/>
          <w:lang w:val="ar-SA" w:bidi="ar-SA"/>
        </w:rPr>
        <w:t>“</w:t>
      </w:r>
      <w:r>
        <w:rPr>
          <w:rFonts w:ascii="Verdana" w:hAnsi="Verdana"/>
          <w:sz w:val="18"/>
          <w:szCs w:val="18"/>
          <w:rtl w:val="0"/>
          <w:lang w:val="en-US"/>
        </w:rPr>
        <w:t>Industry analysts, including the Alliance for Regenerative Medicine, note that developers are prioritizing proven, adaptable platforms that can support multiple cell types and scales, like the Quantum Flex.</w:t>
      </w:r>
      <w:r>
        <w:rPr>
          <w:rFonts w:ascii="Verdana" w:hAnsi="Verdana" w:hint="default"/>
          <w:sz w:val="18"/>
          <w:szCs w:val="18"/>
          <w:rtl w:val="0"/>
        </w:rPr>
        <w:t>”</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 xml:space="preserve">The announcement follows earlier results published by Terumo BCT in </w:t>
      </w:r>
      <w:r>
        <w:rPr>
          <w:rFonts w:ascii="Verdana" w:hAnsi="Verdana"/>
          <w:i w:val="1"/>
          <w:iCs w:val="1"/>
          <w:sz w:val="18"/>
          <w:szCs w:val="18"/>
          <w:rtl w:val="0"/>
          <w:lang w:val="en-US"/>
        </w:rPr>
        <w:t>Cytotherapy</w:t>
      </w:r>
      <w:r>
        <w:rPr>
          <w:rFonts w:ascii="Verdana" w:hAnsi="Verdana"/>
          <w:sz w:val="18"/>
          <w:szCs w:val="18"/>
          <w:rtl w:val="0"/>
          <w:lang w:val="en-US"/>
        </w:rPr>
        <w:t xml:space="preserve"> demonstrating a similar integrated 3-in-1 workflow for CAR-T cells in partnership with Eureka Biotechnology. Now, with this TCR-T milestone, Quantum Flex shows versatility for both research and clinical production.</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Dr. Koya will present the full dataset at the upcoming Advanced Therapies 2025 conference, November 18-19 in Philadelphia.</w:t>
      </w:r>
    </w:p>
    <w:p>
      <w:pPr>
        <w:pStyle w:val="Table Style 2"/>
        <w:suppressAutoHyphens w:val="1"/>
        <w:spacing w:after="266"/>
        <w:jc w:val="left"/>
        <w:rPr>
          <w:rFonts w:ascii="Verdana" w:cs="Verdana" w:hAnsi="Verdana" w:eastAsia="Verdana"/>
          <w:b w:val="0"/>
          <w:bCs w:val="0"/>
          <w:sz w:val="18"/>
          <w:szCs w:val="18"/>
        </w:rPr>
      </w:pPr>
      <w:r>
        <w:rPr>
          <w:rFonts w:ascii="Verdana" w:hAnsi="Verdana"/>
          <w:b w:val="1"/>
          <w:bCs w:val="1"/>
          <w:sz w:val="18"/>
          <w:szCs w:val="18"/>
          <w:rtl w:val="0"/>
          <w:lang w:val="en-US"/>
        </w:rPr>
        <w:t>Why automated 3-in-1 TCR-T matters</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The Alliance for Regenerative Medicine reports more than 2,000 active cell and gene therapy clinical trials worldwide, yet manufacturing capacity and consistency remain major barriers to patient access.</w:t>
      </w:r>
      <w:r>
        <w:rPr>
          <w:rFonts w:ascii="Verdana" w:hAnsi="Verdana"/>
          <w:sz w:val="18"/>
          <w:szCs w:val="18"/>
          <w:vertAlign w:val="superscript"/>
          <w:rtl w:val="0"/>
        </w:rPr>
        <w:t>1,2</w:t>
      </w:r>
      <w:r>
        <w:rPr>
          <w:rFonts w:ascii="Verdana" w:hAnsi="Verdana"/>
          <w:sz w:val="18"/>
          <w:szCs w:val="18"/>
          <w:rtl w:val="0"/>
          <w:lang w:val="en-US"/>
        </w:rPr>
        <w:t xml:space="preserve"> Advanced manufacturing strategies </w:t>
      </w:r>
      <w:r>
        <w:rPr>
          <w:rFonts w:ascii="Verdana" w:hAnsi="Verdana" w:hint="default"/>
          <w:sz w:val="18"/>
          <w:szCs w:val="18"/>
          <w:rtl w:val="0"/>
          <w:lang w:val="en-US"/>
        </w:rPr>
        <w:t xml:space="preserve">— </w:t>
      </w:r>
      <w:r>
        <w:rPr>
          <w:rFonts w:ascii="Verdana" w:hAnsi="Verdana"/>
          <w:sz w:val="18"/>
          <w:szCs w:val="18"/>
          <w:rtl w:val="0"/>
          <w:lang w:val="en-US"/>
        </w:rPr>
        <w:t xml:space="preserve">automation, closed systems and proven, adaptable platforms </w:t>
      </w:r>
      <w:r>
        <w:rPr>
          <w:rFonts w:ascii="Verdana" w:hAnsi="Verdana" w:hint="default"/>
          <w:sz w:val="18"/>
          <w:szCs w:val="18"/>
          <w:rtl w:val="0"/>
          <w:lang w:val="en-US"/>
        </w:rPr>
        <w:t xml:space="preserve">— </w:t>
      </w:r>
      <w:r>
        <w:rPr>
          <w:rFonts w:ascii="Verdana" w:hAnsi="Verdana"/>
          <w:sz w:val="18"/>
          <w:szCs w:val="18"/>
          <w:rtl w:val="0"/>
          <w:lang w:val="en-US"/>
        </w:rPr>
        <w:t>are increasingly recognized as critical to overcoming these challenges.</w:t>
      </w:r>
      <w:r>
        <w:rPr>
          <w:rFonts w:ascii="Verdana" w:hAnsi="Verdana"/>
          <w:sz w:val="18"/>
          <w:szCs w:val="18"/>
          <w:vertAlign w:val="superscript"/>
          <w:rtl w:val="0"/>
        </w:rPr>
        <w:t>2</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At the same time, the FDA</w:t>
      </w:r>
      <w:r>
        <w:rPr>
          <w:rFonts w:ascii="Verdana" w:hAnsi="Verdana" w:hint="default"/>
          <w:sz w:val="18"/>
          <w:szCs w:val="18"/>
          <w:rtl w:val="1"/>
        </w:rPr>
        <w:t>’</w:t>
      </w:r>
      <w:r>
        <w:rPr>
          <w:rFonts w:ascii="Verdana" w:hAnsi="Verdana"/>
          <w:sz w:val="18"/>
          <w:szCs w:val="18"/>
          <w:rtl w:val="0"/>
          <w:lang w:val="en-US"/>
        </w:rPr>
        <w:t>s recent removal of certain risk evaluation and mitigation strategies (REMS) requirements for CAR-T therapies</w:t>
      </w:r>
      <w:r>
        <w:rPr>
          <w:rFonts w:ascii="Verdana" w:hAnsi="Verdana"/>
          <w:sz w:val="18"/>
          <w:szCs w:val="18"/>
          <w:vertAlign w:val="superscript"/>
          <w:rtl w:val="0"/>
        </w:rPr>
        <w:t>3</w:t>
      </w:r>
      <w:r>
        <w:rPr>
          <w:rFonts w:ascii="Verdana" w:hAnsi="Verdana"/>
          <w:sz w:val="18"/>
          <w:szCs w:val="18"/>
          <w:rtl w:val="0"/>
          <w:lang w:val="en-US"/>
        </w:rPr>
        <w:t xml:space="preserve"> signals broader delivery in more treatment centers, creating urgency for scalable, reliable solutions. The Quantum Flex 3-in-1 workflow meets this need by integrating activation, transduction and expansion in a single closed system, reducing reliance on highly skilled manual labor and improving reproducibility.</w:t>
      </w:r>
    </w:p>
    <w:p>
      <w:pPr>
        <w:pStyle w:val="Table Style 2"/>
        <w:suppressAutoHyphens w:val="1"/>
        <w:spacing w:after="266"/>
        <w:jc w:val="left"/>
        <w:rPr>
          <w:rFonts w:ascii="Verdana" w:cs="Verdana" w:hAnsi="Verdana" w:eastAsia="Verdana"/>
          <w:sz w:val="18"/>
          <w:szCs w:val="18"/>
        </w:rPr>
      </w:pP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u w:color="0067d9"/>
        </w:rPr>
      </w:pPr>
      <w:r>
        <w:rPr>
          <w:rFonts w:ascii="Verdana" w:hAnsi="Verdana"/>
          <w:sz w:val="18"/>
          <w:szCs w:val="18"/>
          <w:u w:color="0067d9"/>
          <w:rtl w:val="0"/>
          <w:lang w:val="en-US"/>
        </w:rPr>
        <w:t xml:space="preserve">[1] Alliance for Regenerative Medicine (ARM). Q2 2025 Sector Snapshot. July 2025. </w:t>
      </w: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https://tracking.vuelio.co.uk/tracking/click?d=qjo4mEcPEE2De5bdDlYzG1Pg9BCZOcDudKNtFyh0yF0gos_E6qUSFYfozEN5xMPcfzd4eW57EAUI8Qv5M9Ss-t34j_WQCipOcK0ac8O6wQzTNjWgQbQoNznhVnfQ5YaHsiTiXqLk1iMR1Ek3bc26dEpFgfJBdJmEDDTHvn6fnUyF9Wlw59_I99h9pLqKSIv0QmPXBBnV9k3ASh7OAKx4IbOZUN22UJwxQaj7f6wxPjlX0"</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https://alliancerm.org/wp-content/uploads/2025/09/20250715-ARM-Sector-Snapshot-Q2-2025.pdf</w:t>
      </w:r>
      <w:r>
        <w:rPr>
          <w:rFonts w:ascii="Verdana" w:cs="Verdana" w:hAnsi="Verdana" w:eastAsia="Verdana"/>
          <w:sz w:val="18"/>
          <w:szCs w:val="18"/>
          <w:u w:color="0067d9"/>
        </w:rPr>
        <w:fldChar w:fldCharType="end" w:fldLock="0"/>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 xml:space="preserve">[2] ARM. Advanced Manufacturing Strategies to Increase the Reach of Cell and Gene Therapies: Takeaways From a Scientific Workshop. October 2024.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hmwo7A4LZM0WjmenuBuTxMlOAlosOeVPuha0ldrNTkak09Czu8HlNGw7IinON4M87Gv0czBWbyoiL1TsAWUriDQ1_cwjCoCpoZuvGPINJG5kGxykyC6ipvkX0isMigjnwYrQa76fLYK6J7ulKdE0BIdxgU9pYp42OV5xaImF-Oii_Mz37gaErks9hpxBzC26uZZyzVD6z1yWRBpc8XLC2vGnVAcabbuoK9HW18aVrU2f0"</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https://alliancerm.org/wp-content/uploads/2025/09/Advanced-Manufacturing-Whitepaper-2024_Preview.pdf</w:t>
      </w:r>
      <w:r>
        <w:rPr>
          <w:rFonts w:ascii="Verdana" w:cs="Verdana" w:hAnsi="Verdana" w:eastAsia="Verdana"/>
          <w:sz w:val="18"/>
          <w:szCs w:val="18"/>
        </w:rPr>
        <w:fldChar w:fldCharType="end" w:fldLock="0"/>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 xml:space="preserve">[3] U.S. Food and Drug Administration. FDA eliminates risk evaluation and mitigation strategies (REMS) for autologous chimeric antigen receptor CAR T cell immunotherapies. June 27, 2025.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QlzMUOIJm15V95Fzu3IVNpunpKsR_-V9ragwXrrbpgrf1mxwcoQRvn2Le5vVoVcZIv-4XdVSnZloMd3wvdt0SRiKxwA0MXT-JsZQtVhivOtxBevx_O6eCNk9Iv-6ZiNaAcWaj9gqDRtVxYjdYd1UYbILwsnhMaxqYNefsPW6s7mlHX_i7sUZ5LsvYMqHBcbWrz0qQnsT3fYhqvBTVV2h1iThDSRwZm-TlH5zyGSpti4vRYN6BS0ES-J1fdmzIh342Hb1DAWf28OYqoe9KlVE7NwoArHZfW5TBUmtR47bOlvF0"</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https://www.fda.gov/news-events/press-announcements/fda-eliminates-risk-evaluation-and-mitigation-strategies-rems-autologous-chimeric-antigen-receptor</w:t>
      </w:r>
      <w:r>
        <w:rPr>
          <w:rFonts w:ascii="Verdana" w:cs="Verdana" w:hAnsi="Verdana" w:eastAsia="Verdana"/>
          <w:sz w:val="18"/>
          <w:szCs w:val="18"/>
        </w:rPr>
        <w:fldChar w:fldCharType="end" w:fldLock="0"/>
      </w:r>
    </w:p>
    <w:p>
      <w:pPr>
        <w:pStyle w:val="Table Style 2"/>
        <w:suppressAutoHyphens w:val="1"/>
        <w:spacing w:after="266"/>
        <w:jc w:val="left"/>
        <w:rPr>
          <w:rFonts w:ascii="Verdana" w:cs="Verdana" w:hAnsi="Verdana" w:eastAsia="Verdana"/>
          <w:sz w:val="18"/>
          <w:szCs w:val="18"/>
        </w:rPr>
      </w:pP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it-IT"/>
        </w:rPr>
        <w:t>Quantum Flex</w:t>
      </w:r>
      <w:r>
        <w:rPr>
          <w:rStyle w:val="None"/>
          <w:rFonts w:ascii="Verdana" w:hAnsi="Verdana" w:hint="default"/>
          <w:sz w:val="18"/>
          <w:szCs w:val="18"/>
          <w:vertAlign w:val="superscript"/>
          <w:rtl w:val="0"/>
        </w:rPr>
        <w:t>™</w:t>
      </w:r>
      <w:r>
        <w:rPr>
          <w:rFonts w:ascii="Verdana" w:hAnsi="Verdana"/>
          <w:sz w:val="18"/>
          <w:szCs w:val="18"/>
          <w:rtl w:val="0"/>
          <w:lang w:val="en-US"/>
        </w:rPr>
        <w:t xml:space="preserve"> is either a registered trademark or trademark of Terumo BCT, Inc. in the United States and/or other countries. See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"http://terumobct.com/Trademarks"</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TerumoBCT.com/Trademarks</w:t>
      </w:r>
      <w:r>
        <w:rPr>
          <w:rFonts w:ascii="Verdana" w:cs="Verdana" w:hAnsi="Verdana" w:eastAsia="Verdana"/>
          <w:sz w:val="18"/>
          <w:szCs w:val="18"/>
        </w:rPr>
        <w:fldChar w:fldCharType="end" w:fldLock="0"/>
      </w:r>
      <w:r>
        <w:rPr>
          <w:rFonts w:ascii="Verdana" w:hAnsi="Verdana"/>
          <w:sz w:val="18"/>
          <w:szCs w:val="18"/>
          <w:rtl w:val="0"/>
          <w:lang w:val="en-US"/>
        </w:rPr>
        <w:t xml:space="preserve"> for details.</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Dr. Richard Koya serves as a paid consultant to Terumo BCT. Dr. Mindy Miller is employed by Terumo BCT. Both individuals</w:t>
      </w:r>
      <w:r>
        <w:rPr>
          <w:rFonts w:ascii="Verdana" w:hAnsi="Verdana" w:hint="default"/>
          <w:sz w:val="18"/>
          <w:szCs w:val="18"/>
          <w:rtl w:val="1"/>
        </w:rPr>
        <w:t xml:space="preserve">’ </w:t>
      </w:r>
      <w:r>
        <w:rPr>
          <w:rFonts w:ascii="Verdana" w:hAnsi="Verdana"/>
          <w:sz w:val="18"/>
          <w:szCs w:val="18"/>
          <w:rtl w:val="0"/>
          <w:lang w:val="en-US"/>
        </w:rPr>
        <w:t>affiliations may be relevant to the interpretation of the scientific information presented.</w:t>
      </w:r>
    </w:p>
    <w:p>
      <w:pPr>
        <w:pStyle w:val="Table Style 2"/>
        <w:suppressAutoHyphens w:val="1"/>
        <w:spacing w:after="266"/>
        <w:jc w:val="left"/>
        <w:rPr>
          <w:rStyle w:val="None"/>
          <w:rFonts w:ascii="Verdana" w:cs="Verdana" w:hAnsi="Verdana" w:eastAsia="Verdana"/>
          <w:b w:val="0"/>
          <w:bCs w:val="0"/>
          <w:sz w:val="18"/>
          <w:szCs w:val="18"/>
        </w:rPr>
      </w:pPr>
      <w:r>
        <w:rPr>
          <w:rFonts w:ascii="Verdana" w:hAnsi="Verdana"/>
          <w:b w:val="1"/>
          <w:bCs w:val="1"/>
          <w:sz w:val="18"/>
          <w:szCs w:val="18"/>
          <w:rtl w:val="0"/>
          <w:lang w:val="en-US"/>
        </w:rPr>
        <w:t>About Terumo BCT</w:t>
      </w:r>
      <w:r>
        <w:rPr>
          <w:rStyle w:val="None"/>
          <w:rFonts w:ascii="Verdana" w:hAnsi="Verdana" w:hint="default"/>
          <w:b w:val="0"/>
          <w:bCs w:val="0"/>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p>
    <w:p>
      <w:pPr>
        <w:pStyle w:val="Table Style 2"/>
        <w:suppressAutoHyphens w:val="1"/>
        <w:spacing w:after="266"/>
        <w:jc w:val="left"/>
      </w:pPr>
      <w:r>
        <w:rPr>
          <w:rFonts w:ascii="Verdana" w:hAnsi="Verdana"/>
          <w:sz w:val="18"/>
          <w:szCs w:val="18"/>
          <w:rtl w:val="0"/>
          <w:lang w:val="en-US"/>
        </w:rPr>
        <w:t>We have global headquarters in Lakewood, Colorado, U.S.A., along with four regional headquarters, eight manufacturing sites and six innovation and development centers across the globe. Terumo Blood and Cell Technologies is a subsidiary of Terumo Corporation (TSE: 4543), a global leader in medical technology.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