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Media Contacts:</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IB Communications</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instrText xml:space="preserve"> HYPERLINK "mailto:terumo@ibcomms.agency"</w:instrText>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b w:val="1"/>
          <w:bCs w:val="1"/>
          <w:outline w:val="0"/>
          <w:color w:val="131317"/>
          <w:sz w:val="18"/>
          <w:szCs w:val="18"/>
          <w:shd w:val="clear" w:color="auto" w:fill="ffffff"/>
          <w:rtl w:val="0"/>
          <w:lang w:val="en-US"/>
          <w14:textFill>
            <w14:solidFill>
              <w14:srgbClr w14:val="131317"/>
            </w14:solidFill>
          </w14:textFill>
        </w:rPr>
        <w:t>terumo@ibcomms.agency</w:t>
      </w:r>
      <w:r>
        <w:rPr>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Terumo Blood and Cell Technologies</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and</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Steminent</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it-IT"/>
          <w14:textFill>
            <w14:solidFill>
              <w14:srgbClr w14:val="131317"/>
            </w14:solidFill>
          </w14:textFill>
        </w:rPr>
        <w:t>Collaborate</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to Advance</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de-DE"/>
          <w14:textFill>
            <w14:solidFill>
              <w14:srgbClr w14:val="131317"/>
            </w14:solidFill>
          </w14:textFill>
        </w:rPr>
        <w:t>MSC Late-Stage</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it-IT"/>
          <w14:textFill>
            <w14:solidFill>
              <w14:srgbClr w14:val="131317"/>
            </w14:solidFill>
          </w14:textFill>
        </w:rPr>
        <w:t>Clinical</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Manufacturing</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fr-FR"/>
          <w14:textFill>
            <w14:solidFill>
              <w14:srgbClr w14:val="131317"/>
            </w14:solidFill>
          </w14:textFill>
        </w:rPr>
        <w:t>Collaboration</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focuses on automated, scalable MSC expansion to support clinical and commercial readiness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nl-NL"/>
          <w14:textFill>
            <w14:solidFill>
              <w14:srgbClr w14:val="131317"/>
            </w14:solidFill>
          </w14:textFill>
        </w:rPr>
        <w:t>Lakewood, Colo.</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and Taipei, Taiwan,</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May</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 xml:space="preserve">13, 2026 </w:t>
      </w:r>
      <w:r>
        <w:rPr>
          <w:rFonts w:ascii="Verdana" w:hAnsi="Verdana" w:hint="default"/>
          <w:b w:val="1"/>
          <w:bCs w:val="1"/>
          <w:outline w:val="0"/>
          <w:color w:val="131317"/>
          <w:sz w:val="18"/>
          <w:szCs w:val="18"/>
          <w:shd w:val="clear" w:color="auto" w:fill="ffffff"/>
          <w:rtl w:val="0"/>
          <w:lang w:val="ru-RU"/>
          <w14:textFill>
            <w14:solidFill>
              <w14:srgbClr w14:val="131317"/>
            </w14:solidFill>
          </w14:textFill>
        </w:rPr>
        <w:t>—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"https://www.terumobct.com/"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lang w:val="en-US"/>
          <w14:textFill>
            <w14:solidFill>
              <w14:srgbClr w14:val="131317"/>
            </w14:solidFill>
          </w14:textFill>
        </w:rPr>
        <w:t>Terumo Blood and Cell Technologies</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lang w:val="en-US"/>
          <w14:textFill>
            <w14:solidFill>
              <w14:srgbClr w14:val="131317"/>
            </w14:solidFill>
          </w14:textFill>
        </w:rPr>
        <w:t xml:space="preserve"> (Terumo BCT), a medical technology company and global leader in blood management solutions, and</w:t>
      </w:r>
      <w:r>
        <w:rPr>
          <w:rFonts w:ascii="Verdana" w:hAnsi="Verdana" w:hint="default"/>
          <w:outline w:val="0"/>
          <w:color w:val="131317"/>
          <w:sz w:val="18"/>
          <w:szCs w:val="18"/>
          <w:shd w:val="clear" w:color="auto" w:fill="ffffff"/>
          <w:rtl w:val="0"/>
          <w14:textFill>
            <w14:solidFill>
              <w14:srgbClr w14:val="131317"/>
            </w14:solidFill>
          </w14:textFill>
        </w:rPr>
        <w:t>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"https://steminent.com/"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14:textFill>
            <w14:solidFill>
              <w14:srgbClr w14:val="131317"/>
            </w14:solidFill>
          </w14:textFill>
        </w:rPr>
        <w:t>Steminent</w:t>
      </w:r>
      <w:r>
        <w:rPr>
          <w:rStyle w:val="Hyperlink.1"/>
          <w:rFonts w:ascii="Verdana" w:hAnsi="Verdana" w:hint="default"/>
          <w:outline w:val="0"/>
          <w:color w:val="131317"/>
          <w:sz w:val="18"/>
          <w:szCs w:val="18"/>
          <w:shd w:val="clear" w:color="auto" w:fill="ffffff"/>
          <w:rtl w:val="0"/>
          <w14:textFill>
            <w14:solidFill>
              <w14:srgbClr w14:val="131317"/>
            </w14:solidFill>
          </w14:textFill>
        </w:rPr>
        <w:t> </w:t>
      </w:r>
      <w:r>
        <w:rPr>
          <w:rStyle w:val="Hyperlink.1"/>
          <w:rFonts w:ascii="Verdana" w:hAnsi="Verdana"/>
          <w:outline w:val="0"/>
          <w:color w:val="131317"/>
          <w:sz w:val="18"/>
          <w:szCs w:val="18"/>
          <w:shd w:val="clear" w:color="auto" w:fill="ffffff"/>
          <w:rtl w:val="0"/>
          <w:lang w:val="en-US"/>
          <w14:textFill>
            <w14:solidFill>
              <w14:srgbClr w14:val="131317"/>
            </w14:solidFill>
          </w14:textFill>
        </w:rPr>
        <w:t>Biotherapeutics</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have entered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pt-PT"/>
          <w14:textFill>
            <w14:solidFill>
              <w14:srgbClr w14:val="131317"/>
            </w14:solidFill>
          </w14:textFill>
        </w:rPr>
        <w:t>into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 strategic collaboration to accelerate late-stage manufacturing readiness for mesenchymal stem cell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pt-PT"/>
          <w14:textFill>
            <w14:solidFill>
              <w14:srgbClr w14:val="131317"/>
            </w14:solidFill>
          </w14:textFill>
        </w:rPr>
        <w:t>(MSC)</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therapies, addressing one of the key barriers to clinical scale-up and commercialization in regenerative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medicine.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collaboration centers 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optimizing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automated cell expansion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for</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clinical development and future commercial production 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late-stage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MSC-based therapy.</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Few MSC therapies have been approved anywhere in the world, 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global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adoption has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remained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limited.1</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One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of the major challenges to broad commercialization has been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effective transitioning from manual to automated manufacturing.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collaboration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is intended to improve consistency,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scalability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efficiency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of MSC manufacturing using Terumo BCT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it-IT"/>
          <w14:textFill>
            <w14:solidFill>
              <w14:srgbClr w14:val="131317"/>
            </w14:solidFill>
          </w14:textFill>
        </w:rPr>
        <w:t>s Quantum Flex</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Automated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Cell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Expansion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System,</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reducing reliance on manual processes.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Terumo BCT will lead development 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a</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scalable production workflow that 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designed to support batch-to-batch consistency and process robustness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that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aligned with</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goals. This workflow</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will be transferred 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for continued advancement.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it-IT"/>
          <w14:textFill>
            <w14:solidFill>
              <w14:srgbClr w14:val="131317"/>
            </w14:solidFill>
          </w14:textFill>
        </w:rPr>
        <w:t>Collaborating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with Terumo BCT allows us to strengthen our manufacturing foundation with processes designed for late-stage development and beyond,</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said Ling-Mei Wang, Chairperson 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 xml:space="preserve">Steminent.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This work supports our</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MSC clinical program</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next step, scaling for late-stage trials and eventual commercialization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across multiple regions.</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hint="default"/>
          <w:outline w:val="0"/>
          <w:color w:val="131317"/>
          <w:sz w:val="18"/>
          <w:szCs w:val="18"/>
          <w:shd w:val="clear" w:color="auto" w:fill="ffffff"/>
          <w:rtl w:val="0"/>
          <w14:textFill>
            <w14:solidFill>
              <w14:srgbClr w14:val="131317"/>
            </w14:solidFill>
          </w14:textFill>
        </w:rPr>
        <w: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As APAC C&amp;GT developers build towards commercialization, Terumo BCT is committed to supporting their manufacturing strategy through our well-tested platforms and global expertise,</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noted Wenyan Leong, Ph.D.,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 xml:space="preserve">Director of APAC Commercial and Global Strategic Partnerships. </w:t>
      </w: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xml:space="preserve">In practice, that means working alongside developers to design processes that hold up at scale </w:t>
      </w:r>
      <w:r>
        <w:rPr>
          <w:rFonts w:ascii="Verdana" w:hAnsi="Verdana" w:hint="default"/>
          <w:outline w:val="0"/>
          <w:color w:val="131317"/>
          <w:sz w:val="18"/>
          <w:szCs w:val="18"/>
          <w:shd w:val="clear" w:color="auto" w:fill="ffffff"/>
          <w:rtl w:val="0"/>
          <w:lang w:val="en-US"/>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not just in early development but through late-stage and beyond.</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Upon successful completion of development milestones,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plans 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expand usage of Quantum Flex,</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leveraging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system</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to support broader clinical translation and commercialization plans.</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This collaboration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aligns with</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pt-PT"/>
          <w14:textFill>
            <w14:solidFill>
              <w14:srgbClr w14:val="131317"/>
            </w14:solidFill>
          </w14:textFill>
        </w:rPr>
        <w:t>Terumo BCT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s APAC Ecosystem Blueprint</w:t>
      </w:r>
      <w:r>
        <w:rPr>
          <w:rFonts w:ascii="Verdana" w:hAnsi="Verdana" w:hint="default"/>
          <w:outline w:val="0"/>
          <w:color w:val="131317"/>
          <w:sz w:val="18"/>
          <w:szCs w:val="18"/>
          <w:shd w:val="clear" w:color="auto" w:fill="ffffff"/>
          <w:rtl w:val="0"/>
          <w:lang w:val="ru-RU"/>
          <w14:textFill>
            <w14:solidFill>
              <w14:srgbClr w14:val="131317"/>
            </w14:solidFill>
          </w14:textFill>
        </w:rPr>
        <w:t> — </w:t>
      </w:r>
      <w:r>
        <w:rPr>
          <w:rFonts w:ascii="Verdana" w:hAnsi="Verdana"/>
          <w:outline w:val="0"/>
          <w:color w:val="131317"/>
          <w:sz w:val="18"/>
          <w:szCs w:val="18"/>
          <w:shd w:val="clear" w:color="auto" w:fill="ffffff"/>
          <w:rtl w:val="0"/>
          <w:lang w:val="en-US"/>
          <w14:textFill>
            <w14:solidFill>
              <w14:srgbClr w14:val="131317"/>
            </w14:solidFill>
          </w14:textFill>
        </w:rPr>
        <w:t>a practical, collaborative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framework</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designed 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support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cell and gene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therapy developers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in the Asia-Pacific region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as they transition from early development to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scalable, repeatable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manufacturing 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delivery.</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numPr>
          <w:ilvl w:val="0"/>
          <w:numId w:val="2"/>
        </w:numPr>
        <w:suppressAutoHyphens w:val="1"/>
        <w:spacing w:before="0" w:line="240" w:lineRule="auto"/>
        <w:jc w:val="both"/>
        <w:rPr>
          <w:rFonts w:ascii="Verdana" w:hAnsi="Verdana"/>
          <w:outline w:val="0"/>
          <w:color w:val="131317"/>
          <w:sz w:val="18"/>
          <w:szCs w:val="18"/>
          <w:shd w:val="clear" w:color="auto" w:fill="ffffff"/>
          <w:lang w:val="es-ES_tradnl"/>
          <w14:textFill>
            <w14:solidFill>
              <w14:srgbClr w14:val="131317"/>
            </w14:solidFill>
          </w14:textFill>
        </w:rPr>
      </w:pPr>
      <w:r>
        <w:rPr>
          <w:rFonts w:ascii="Verdana" w:hAnsi="Verdana"/>
          <w:outline w:val="0"/>
          <w:color w:val="131317"/>
          <w:sz w:val="18"/>
          <w:szCs w:val="18"/>
          <w:shd w:val="clear" w:color="auto" w:fill="ffffff"/>
          <w:rtl w:val="0"/>
          <w:lang w:val="es-ES_tradnl"/>
          <w14:textFill>
            <w14:solidFill>
              <w14:srgbClr w14:val="131317"/>
            </w14:solidFill>
          </w14:textFill>
        </w:rPr>
        <w:t>Fern</w:t>
      </w:r>
      <w:r>
        <w:rPr>
          <w:rFonts w:ascii="Verdana" w:hAnsi="Verdana" w:hint="default"/>
          <w:outline w:val="0"/>
          <w:color w:val="131317"/>
          <w:sz w:val="18"/>
          <w:szCs w:val="18"/>
          <w:shd w:val="clear" w:color="auto" w:fill="ffffff"/>
          <w:rtl w:val="0"/>
          <w14:textFill>
            <w14:solidFill>
              <w14:srgbClr w14:val="131317"/>
            </w14:solidFill>
          </w14:textFill>
        </w:rPr>
        <w:t>á</w:t>
      </w:r>
      <w:r>
        <w:rPr>
          <w:rFonts w:ascii="Verdana" w:hAnsi="Verdana"/>
          <w:outline w:val="0"/>
          <w:color w:val="131317"/>
          <w:sz w:val="18"/>
          <w:szCs w:val="18"/>
          <w:shd w:val="clear" w:color="auto" w:fill="ffffff"/>
          <w:rtl w:val="0"/>
          <w:lang w:val="es-ES_tradnl"/>
          <w14:textFill>
            <w14:solidFill>
              <w14:srgbClr w14:val="131317"/>
            </w14:solidFill>
          </w14:textFill>
        </w:rPr>
        <w:t>ndez-Garza LE, Barrera-Barrera SA, Barrera-Salda</w:t>
      </w:r>
      <w:r>
        <w:rPr>
          <w:rFonts w:ascii="Verdana" w:hAnsi="Verdana" w:hint="default"/>
          <w:outline w:val="0"/>
          <w:color w:val="131317"/>
          <w:sz w:val="18"/>
          <w:szCs w:val="18"/>
          <w:shd w:val="clear" w:color="auto" w:fill="ffffff"/>
          <w:rtl w:val="0"/>
          <w:lang w:val="es-ES_tradnl"/>
          <w14:textFill>
            <w14:solidFill>
              <w14:srgbClr w14:val="131317"/>
            </w14:solidFill>
          </w14:textFill>
        </w:rPr>
        <w:t>ñ</w:t>
      </w:r>
      <w:r>
        <w:rPr>
          <w:rFonts w:ascii="Verdana" w:hAnsi="Verdana"/>
          <w:outline w:val="0"/>
          <w:color w:val="131317"/>
          <w:sz w:val="18"/>
          <w:szCs w:val="18"/>
          <w:shd w:val="clear" w:color="auto" w:fill="ffffff"/>
          <w:rtl w:val="0"/>
          <w14:textFill>
            <w14:solidFill>
              <w14:srgbClr w14:val="131317"/>
            </w14:solidFill>
          </w14:textFill>
        </w:rPr>
        <w:t>a HA. Mesenchymal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cell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therapies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approved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by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regulatory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agencies around 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world.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Pharmaceuticals (Basel). 2023;16(9):1334.</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cs="Verdana" w:hAnsi="Verdana" w:eastAsia="Verdana"/>
          <w:outline w:val="0"/>
          <w:color w:val="131317"/>
          <w:sz w:val="18"/>
          <w:szCs w:val="18"/>
          <w:shd w:val="clear" w:color="auto" w:fill="ffffff"/>
          <w14:textFill>
            <w14:solidFill>
              <w14:srgbClr w14:val="131317"/>
            </w14:solidFill>
          </w14:textFill>
        </w:rPr>
        <w:tab/>
      </w:r>
      <w:r>
        <w:rPr>
          <w:rFonts w:ascii="Verdana" w:hAnsi="Verdana"/>
          <w:outline w:val="0"/>
          <w:color w:val="131317"/>
          <w:sz w:val="18"/>
          <w:szCs w:val="18"/>
          <w:shd w:val="clear" w:color="auto" w:fill="ffffff"/>
          <w:rtl w:val="0"/>
          <w:lang w:val="pt-PT"/>
          <w14:textFill>
            <w14:solidFill>
              <w14:srgbClr w14:val="131317"/>
            </w14:solidFill>
          </w14:textFill>
        </w:rPr>
        <w:t>doi:10.3390/ph16091334</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it-IT"/>
          <w14:textFill>
            <w14:solidFill>
              <w14:srgbClr w14:val="131317"/>
            </w14:solidFill>
          </w14:textFill>
        </w:rPr>
        <w:t>Quantum Flex</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is either a registered trademark or trademark of Terumo BCT, Inc. in the United States and/or other countries. See TerumoBCT.com/trademarks for details.</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Products and services are available in selected areas subject to regulatory approval in each country.</w:t>
      </w: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 Terumo Blood and Cell Technologies</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Terumo Blood and Cell Technologies is a medical technology company. Our products,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software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services enable customers to collect and prepare blood and cells to help treat challenging diseases and conditions. Our employees worldwide believe in the potential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blood and cells to do even more for patients than they do today. This belief inspires our innovation and strengthens our collaboration with customers.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Terumo Blood and Cell</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nl-NL"/>
          <w14:textFill>
            <w14:solidFill>
              <w14:srgbClr w14:val="131317"/>
            </w14:solidFill>
          </w14:textFill>
        </w:rPr>
        <w:t>Technologies'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customers include blood centers, hospitals, therapeutic apheresis clinics, cell collection and processing organizations,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researchers,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private medical practices. Our customers are based in over 160 countries across the globe. We have 750+ granted patents, with more than 150</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additionally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pending.</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We have global headquarters in Lakewood, Colorado, U.S.A., along with four regional headquarters, eight manufacturing sites 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seven</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innovation and development centers across the globe. Terumo Blood and Cell Technologies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 subsidiary of Terumo Corporation (TSE: 4543), a global leader in medical technology.</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Steminent</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Biotherapeutics Inc.</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Biotherapeutics Inc. (TWSE: 7729) is a Taipei-based stem cell biopharmaceutical company focused on the research and development of regenerative medicine products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leveraging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its proprietary stem cell platform. The company is dedicated to advancing innovative cell therapies for degenerative, rare, and life-threatening diseases, aiming to address significant unmet medical needs.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lead product,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Stemchymal</w:t>
      </w:r>
      <w:r>
        <w:rPr>
          <w:rFonts w:ascii="Verdana" w:hAnsi="Verdana" w:hint="default"/>
          <w:outline w:val="0"/>
          <w:color w:val="131317"/>
          <w:sz w:val="18"/>
          <w:szCs w:val="18"/>
          <w:shd w:val="clear" w:color="auto" w:fill="ffffff"/>
          <w:rtl w:val="0"/>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is a mesenchymal stem cell (MSC)-based cell therapy product with spinocerebellar ataxia as its primary</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indication. The company continues to advance its clinical and regulatory programs across Taiwan, Japan, Korea, and the United States, and is actively preparing for Conditional Approval applications in Taiwan and Japan as it progresses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steadily toward commercialization.</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pPr>
      <w:r>
        <w:rPr>
          <w:rFonts w:ascii="Verdana" w:hAnsi="Verdana"/>
          <w:outline w:val="0"/>
          <w:color w:val="131317"/>
          <w:sz w:val="18"/>
          <w:szCs w:val="18"/>
          <w:shd w:val="clear" w:color="auto" w:fill="ffffff"/>
          <w:rtl w:val="0"/>
          <w:lang w:val="en-US"/>
          <w14:textFill>
            <w14:solidFill>
              <w14:srgbClr w14:val="131317"/>
            </w14:solidFill>
          </w14:textFill>
        </w:rPr>
        <w:t>To support future commercial demand,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Steminent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is strengthening its manufacturing scale-up, batch-to-batch consistency, quality systems, and supply chain partnerships. Through international collaborations and the adoption of advanced technology platforms, the company is building a globally competitive cell therapy ecosystem.</w:t>
      </w:r>
      <w:r>
        <w:rPr>
          <w:rFonts w:ascii="Verdana" w:hAnsi="Verdana" w:hint="default"/>
          <w:outline w:val="0"/>
          <w:color w:val="131317"/>
          <w:sz w:val="18"/>
          <w:szCs w:val="18"/>
          <w:shd w:val="clear" w:color="auto" w:fill="ffffff"/>
          <w:rtl w:val="0"/>
          <w14:textFill>
            <w14:solidFill>
              <w14:srgbClr w14:val="131317"/>
            </w14:solidFill>
          </w14:textFill>
        </w:rPr>
        <w:t> </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720" w:hanging="500"/>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1">
      <w:start w:val="1"/>
      <w:numFmt w:val="decimal"/>
      <w:suff w:val="tab"/>
      <w:lvlText w:val="%2."/>
      <w:lvlJc w:val="left"/>
      <w:pPr>
        <w:ind w:left="77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2">
      <w:start w:val="1"/>
      <w:numFmt w:val="decimal"/>
      <w:suff w:val="tab"/>
      <w:lvlText w:val="%3."/>
      <w:lvlJc w:val="left"/>
      <w:pPr>
        <w:ind w:left="99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3">
      <w:start w:val="1"/>
      <w:numFmt w:val="decimal"/>
      <w:suff w:val="tab"/>
      <w:lvlText w:val="%4."/>
      <w:lvlJc w:val="left"/>
      <w:pPr>
        <w:ind w:left="121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4">
      <w:start w:val="1"/>
      <w:numFmt w:val="decimal"/>
      <w:suff w:val="tab"/>
      <w:lvlText w:val="%5."/>
      <w:lvlJc w:val="left"/>
      <w:pPr>
        <w:ind w:left="143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5">
      <w:start w:val="1"/>
      <w:numFmt w:val="decimal"/>
      <w:suff w:val="tab"/>
      <w:lvlText w:val="%6."/>
      <w:lvlJc w:val="left"/>
      <w:pPr>
        <w:ind w:left="165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6">
      <w:start w:val="1"/>
      <w:numFmt w:val="decimal"/>
      <w:suff w:val="tab"/>
      <w:lvlText w:val="%7."/>
      <w:lvlJc w:val="left"/>
      <w:pPr>
        <w:ind w:left="187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7">
      <w:start w:val="1"/>
      <w:numFmt w:val="decimal"/>
      <w:suff w:val="tab"/>
      <w:lvlText w:val="%8."/>
      <w:lvlJc w:val="left"/>
      <w:pPr>
        <w:ind w:left="209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lvl w:ilvl="8">
      <w:start w:val="1"/>
      <w:numFmt w:val="decimal"/>
      <w:suff w:val="tab"/>
      <w:lvlText w:val="%9."/>
      <w:lvlJc w:val="left"/>
      <w:pPr>
        <w:ind w:left="2318" w:hanging="338"/>
      </w:pPr>
      <w:rPr>
        <w:rFonts w:ascii="Verdana" w:cs="Verdana" w:hAnsi="Verdana" w:eastAsia="Verdana"/>
        <w:b w:val="0"/>
        <w:bCs w:val="0"/>
        <w:i w:val="0"/>
        <w:iCs w:val="0"/>
        <w:caps w:val="0"/>
        <w:smallCaps w:val="0"/>
        <w:strike w:val="0"/>
        <w:dstrike w:val="0"/>
        <w:outline w:val="0"/>
        <w:emboss w:val="0"/>
        <w:imprint w:val="0"/>
        <w:color w:val="131317"/>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