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right"/>
        <w:rPr>
          <w:rFonts w:ascii="Verdana" w:hAnsi="Verdana"/>
          <w:b w:val="1"/>
          <w:bCs w:val="1"/>
          <w:outline w:val="0"/>
          <w:color w:val="282828"/>
          <w:sz w:val="20"/>
          <w:szCs w:val="20"/>
          <w:shd w:val="clear" w:color="auto" w:fill="ffffff"/>
          <w:rtl w:val="0"/>
          <w14:textFill>
            <w14:solidFill>
              <w14:srgbClr w14:val="292929"/>
            </w14:solidFill>
          </w14:textFill>
        </w:rPr>
      </w:pPr>
      <w:r>
        <w:rPr>
          <w:rFonts w:ascii="Verdana" w:hAnsi="Verdana"/>
          <w:b w:val="1"/>
          <w:bCs w:val="1"/>
          <w:outline w:val="0"/>
          <w:color w:val="282828"/>
          <w:sz w:val="20"/>
          <w:szCs w:val="20"/>
          <w:shd w:val="clear" w:color="auto" w:fill="ffffff"/>
          <w:rtl w:val="0"/>
          <w14:textFill>
            <w14:solidFill>
              <w14:srgbClr w14:val="292929"/>
            </w14:solidFill>
          </w14:textFill>
        </w:rPr>
        <w:drawing xmlns:a="http://schemas.openxmlformats.org/drawingml/2006/main">
          <wp:anchor distT="152400" distB="152400" distL="152400" distR="152400" simplePos="0" relativeHeight="251659264" behindDoc="0" locked="0" layoutInCell="1" allowOverlap="1">
            <wp:simplePos x="0" y="0"/>
            <wp:positionH relativeFrom="margin">
              <wp:posOffset>-6349</wp:posOffset>
            </wp:positionH>
            <wp:positionV relativeFrom="line">
              <wp:posOffset>-152400</wp:posOffset>
            </wp:positionV>
            <wp:extent cx="1682598" cy="1055001"/>
            <wp:effectExtent l="0" t="0" r="0" b="0"/>
            <wp:wrapThrough wrapText="bothSides" distL="152400" distR="152400">
              <wp:wrapPolygon edited="1">
                <wp:start x="0" y="0"/>
                <wp:lineTo x="0" y="21598"/>
                <wp:lineTo x="21602" y="21598"/>
                <wp:lineTo x="21602" y="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rcRect l="5349" t="22004" r="5349" b="22004"/>
                    <a:stretch>
                      <a:fillRect/>
                    </a:stretch>
                  </pic:blipFill>
                  <pic:spPr>
                    <a:xfrm>
                      <a:off x="0" y="0"/>
                      <a:ext cx="1682598" cy="1055001"/>
                    </a:xfrm>
                    <a:prstGeom prst="rect">
                      <a:avLst/>
                    </a:prstGeom>
                    <a:ln w="12700" cap="flat">
                      <a:noFill/>
                      <a:miter lim="400000"/>
                    </a:ln>
                    <a:effectLst/>
                  </pic:spPr>
                </pic:pic>
              </a:graphicData>
            </a:graphic>
          </wp:anchor>
        </w:drawing>
      </w:r>
    </w:p>
    <w:p>
      <w:pPr>
        <w:pStyle w:val="Default"/>
        <w:bidi w:val="0"/>
        <w:spacing w:before="0" w:line="240" w:lineRule="auto"/>
        <w:ind w:left="0" w:right="0" w:firstLine="0"/>
        <w:jc w:val="right"/>
        <w:rPr>
          <w:rFonts w:ascii="Verdana" w:hAnsi="Verdana"/>
          <w:b w:val="1"/>
          <w:bCs w:val="1"/>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right"/>
        <w:rPr>
          <w:rFonts w:ascii="Verdana" w:hAnsi="Verdana"/>
          <w:b w:val="1"/>
          <w:bCs w:val="1"/>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right"/>
        <w:rPr>
          <w:rFonts w:ascii="Verdana" w:hAnsi="Verdana"/>
          <w:b w:val="1"/>
          <w:bCs w:val="1"/>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right"/>
        <w:rPr>
          <w:rFonts w:ascii="Helvetica" w:hAnsi="Helvetica"/>
          <w:sz w:val="20"/>
          <w:szCs w:val="20"/>
          <w:shd w:val="clear" w:color="auto" w:fill="ffffff"/>
          <w:rtl w:val="0"/>
        </w:rPr>
      </w:pPr>
    </w:p>
    <w:p>
      <w:pPr>
        <w:pStyle w:val="Default"/>
        <w:bidi w:val="0"/>
        <w:spacing w:before="0" w:line="240" w:lineRule="auto"/>
        <w:ind w:left="0" w:right="0" w:firstLine="0"/>
        <w:jc w:val="right"/>
        <w:rPr>
          <w:rFonts w:ascii="Verdana" w:hAnsi="Verdana"/>
          <w:b w:val="1"/>
          <w:bCs w:val="1"/>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right"/>
        <w:rPr>
          <w:rFonts w:ascii="Arial" w:cs="Arial" w:hAnsi="Arial" w:eastAsia="Arial"/>
          <w:b w:val="0"/>
          <w:bCs w:val="0"/>
          <w:outline w:val="0"/>
          <w:color w:val="282828"/>
          <w:sz w:val="20"/>
          <w:szCs w:val="20"/>
          <w:shd w:val="clear" w:color="auto" w:fill="ffffff"/>
          <w:rtl w:val="0"/>
          <w14:textFill>
            <w14:solidFill>
              <w14:srgbClr w14:val="292929"/>
            </w14:solidFill>
          </w14:textFill>
        </w:rPr>
      </w:pPr>
      <w:r>
        <w:rPr>
          <w:rFonts w:ascii="Verdana" w:hAnsi="Verdana"/>
          <w:b w:val="1"/>
          <w:bCs w:val="1"/>
          <w:outline w:val="0"/>
          <w:color w:val="282828"/>
          <w:sz w:val="20"/>
          <w:szCs w:val="20"/>
          <w:shd w:val="clear" w:color="auto" w:fill="ffffff"/>
          <w:rtl w:val="0"/>
          <w:lang w:val="en-US"/>
          <w14:textFill>
            <w14:solidFill>
              <w14:srgbClr w14:val="292929"/>
            </w14:solidFill>
          </w14:textFill>
        </w:rPr>
        <w:t>Press Release</w:t>
      </w:r>
    </w:p>
    <w:p>
      <w:pPr>
        <w:pStyle w:val="Default"/>
        <w:bidi w:val="0"/>
        <w:spacing w:before="0" w:line="240" w:lineRule="auto"/>
        <w:ind w:left="0" w:right="0" w:firstLine="0"/>
        <w:jc w:val="right"/>
        <w:rPr>
          <w:rFonts w:ascii="Arial" w:cs="Arial" w:hAnsi="Arial" w:eastAsia="Arial"/>
          <w:b w:val="0"/>
          <w:bCs w:val="0"/>
          <w:outline w:val="0"/>
          <w:color w:val="282828"/>
          <w:sz w:val="20"/>
          <w:szCs w:val="20"/>
          <w:shd w:val="clear" w:color="auto" w:fill="ffffff"/>
          <w:rtl w:val="0"/>
          <w14:textFill>
            <w14:solidFill>
              <w14:srgbClr w14:val="292929"/>
            </w14:solidFill>
          </w14:textFill>
        </w:rPr>
      </w:pPr>
      <w:r>
        <w:rPr>
          <w:rFonts w:ascii="Verdana" w:hAnsi="Verdana"/>
          <w:b w:val="1"/>
          <w:bCs w:val="1"/>
          <w:outline w:val="0"/>
          <w:color w:val="282828"/>
          <w:sz w:val="20"/>
          <w:szCs w:val="20"/>
          <w:shd w:val="clear" w:color="auto" w:fill="ffffff"/>
          <w:rtl w:val="0"/>
          <w:lang w:val="en-US"/>
          <w14:textFill>
            <w14:solidFill>
              <w14:srgbClr w14:val="292929"/>
            </w14:solidFill>
          </w14:textFill>
        </w:rPr>
        <w:t>Media Contacts:</w:t>
      </w:r>
    </w:p>
    <w:p>
      <w:pPr>
        <w:pStyle w:val="Default"/>
        <w:bidi w:val="0"/>
        <w:spacing w:before="0" w:line="240" w:lineRule="auto"/>
        <w:ind w:left="0" w:right="0" w:firstLine="0"/>
        <w:jc w:val="right"/>
        <w:rPr>
          <w:rFonts w:ascii="Arial" w:cs="Arial" w:hAnsi="Arial" w:eastAsia="Arial"/>
          <w:b w:val="0"/>
          <w:bCs w:val="0"/>
          <w:outline w:val="0"/>
          <w:color w:val="282828"/>
          <w:sz w:val="20"/>
          <w:szCs w:val="20"/>
          <w:shd w:val="clear" w:color="auto" w:fill="ffffff"/>
          <w:rtl w:val="0"/>
          <w14:textFill>
            <w14:solidFill>
              <w14:srgbClr w14:val="292929"/>
            </w14:solidFill>
          </w14:textFill>
        </w:rPr>
      </w:pPr>
      <w:r>
        <w:rPr>
          <w:rFonts w:ascii="Verdana" w:hAnsi="Verdana"/>
          <w:b w:val="1"/>
          <w:bCs w:val="1"/>
          <w:outline w:val="0"/>
          <w:color w:val="282828"/>
          <w:sz w:val="20"/>
          <w:szCs w:val="20"/>
          <w:shd w:val="clear" w:color="auto" w:fill="ffffff"/>
          <w:rtl w:val="0"/>
          <w:lang w:val="fr-FR"/>
          <w14:textFill>
            <w14:solidFill>
              <w14:srgbClr w14:val="292929"/>
            </w14:solidFill>
          </w14:textFill>
        </w:rPr>
        <w:t>IB Communications</w:t>
      </w:r>
    </w:p>
    <w:p>
      <w:pPr>
        <w:pStyle w:val="Default"/>
        <w:bidi w:val="0"/>
        <w:spacing w:before="0" w:line="240" w:lineRule="auto"/>
        <w:ind w:left="0" w:right="0" w:firstLine="0"/>
        <w:jc w:val="right"/>
        <w:rPr>
          <w:rFonts w:ascii="Arial" w:cs="Arial" w:hAnsi="Arial" w:eastAsia="Arial"/>
          <w:outline w:val="0"/>
          <w:color w:val="282828"/>
          <w:sz w:val="20"/>
          <w:szCs w:val="20"/>
          <w:u w:val="none"/>
          <w:shd w:val="clear" w:color="auto" w:fill="ffffff"/>
          <w:rtl w:val="0"/>
          <w14:textFill>
            <w14:solidFill>
              <w14:srgbClr w14:val="292929"/>
            </w14:solidFill>
          </w14:textFill>
        </w:rPr>
      </w:pPr>
      <w:r>
        <w:rPr>
          <w:rFonts w:ascii="Verdana" w:hAnsi="Verdana"/>
          <w:outline w:val="0"/>
          <w:color w:val="282828"/>
          <w:sz w:val="20"/>
          <w:szCs w:val="20"/>
          <w:u w:val="none"/>
          <w:shd w:val="clear" w:color="auto" w:fill="ffffff"/>
          <w:rtl w:val="0"/>
          <w:lang w:val="nl-NL"/>
          <w14:textFill>
            <w14:solidFill>
              <w14:srgbClr w14:val="292929"/>
            </w14:solidFill>
          </w14:textFill>
        </w:rPr>
        <w:t xml:space="preserve">Tel </w:t>
      </w:r>
      <w:r>
        <w:rPr>
          <w:rStyle w:val="Hyperlink.0"/>
          <w:rFonts w:ascii="Verdana" w:cs="Verdana" w:hAnsi="Verdana" w:eastAsia="Verdana"/>
          <w:outline w:val="0"/>
          <w:color w:val="282828"/>
          <w:sz w:val="20"/>
          <w:szCs w:val="20"/>
          <w:u w:val="single"/>
          <w:shd w:val="clear" w:color="auto" w:fill="ffffff"/>
          <w:rtl w:val="0"/>
          <w14:textFill>
            <w14:solidFill>
              <w14:srgbClr w14:val="292929"/>
            </w14:solidFill>
          </w14:textFill>
        </w:rPr>
        <w:fldChar w:fldCharType="begin" w:fldLock="0"/>
      </w:r>
      <w:r>
        <w:rPr>
          <w:rStyle w:val="Hyperlink.0"/>
          <w:rFonts w:ascii="Verdana" w:cs="Verdana" w:hAnsi="Verdana" w:eastAsia="Verdana"/>
          <w:outline w:val="0"/>
          <w:color w:val="282828"/>
          <w:sz w:val="20"/>
          <w:szCs w:val="20"/>
          <w:u w:val="single"/>
          <w:shd w:val="clear" w:color="auto" w:fill="ffffff"/>
          <w:rtl w:val="0"/>
          <w14:textFill>
            <w14:solidFill>
              <w14:srgbClr w14:val="292929"/>
            </w14:solidFill>
          </w14:textFill>
        </w:rPr>
        <w:instrText xml:space="preserve"> HYPERLINK "tel:+44%20(0)20%2089434685"</w:instrText>
      </w:r>
      <w:r>
        <w:rPr>
          <w:rStyle w:val="Hyperlink.0"/>
          <w:rFonts w:ascii="Verdana" w:cs="Verdana" w:hAnsi="Verdana" w:eastAsia="Verdana"/>
          <w:outline w:val="0"/>
          <w:color w:val="282828"/>
          <w:sz w:val="20"/>
          <w:szCs w:val="20"/>
          <w:u w:val="single"/>
          <w:shd w:val="clear" w:color="auto" w:fill="ffffff"/>
          <w:rtl w:val="0"/>
          <w14:textFill>
            <w14:solidFill>
              <w14:srgbClr w14:val="292929"/>
            </w14:solidFill>
          </w14:textFill>
        </w:rPr>
        <w:fldChar w:fldCharType="separate" w:fldLock="0"/>
      </w:r>
      <w:r>
        <w:rPr>
          <w:rStyle w:val="Hyperlink.0"/>
          <w:rFonts w:ascii="Verdana" w:hAnsi="Verdana"/>
          <w:outline w:val="0"/>
          <w:color w:val="282828"/>
          <w:sz w:val="20"/>
          <w:szCs w:val="20"/>
          <w:u w:val="single"/>
          <w:shd w:val="clear" w:color="auto" w:fill="ffffff"/>
          <w:rtl w:val="0"/>
          <w14:textFill>
            <w14:solidFill>
              <w14:srgbClr w14:val="292929"/>
            </w14:solidFill>
          </w14:textFill>
        </w:rPr>
        <w:t>+44 (0)20 89434685</w:t>
      </w:r>
      <w:r>
        <w:rPr>
          <w:rFonts w:ascii="Verdana" w:cs="Verdana" w:hAnsi="Verdana" w:eastAsia="Verdana"/>
          <w:outline w:val="0"/>
          <w:color w:val="282828"/>
          <w:sz w:val="20"/>
          <w:szCs w:val="20"/>
          <w:u w:val="single"/>
          <w:shd w:val="clear" w:color="auto" w:fill="ffffff"/>
          <w:rtl w:val="0"/>
          <w14:textFill>
            <w14:solidFill>
              <w14:srgbClr w14:val="292929"/>
            </w14:solidFill>
          </w14:textFill>
        </w:rPr>
        <w:fldChar w:fldCharType="end" w:fldLock="0"/>
      </w:r>
    </w:p>
    <w:p>
      <w:pPr>
        <w:pStyle w:val="Default"/>
        <w:bidi w:val="0"/>
        <w:spacing w:before="0" w:line="240" w:lineRule="auto"/>
        <w:ind w:left="0" w:right="0" w:firstLine="0"/>
        <w:jc w:val="right"/>
        <w:rPr>
          <w:rStyle w:val="None"/>
          <w:rFonts w:ascii="Arial" w:cs="Arial" w:hAnsi="Arial" w:eastAsia="Arial"/>
          <w:outline w:val="0"/>
          <w:color w:val="282828"/>
          <w:sz w:val="20"/>
          <w:szCs w:val="20"/>
          <w:u w:val="none" w:color="0067d9"/>
          <w:shd w:val="clear" w:color="auto" w:fill="ffffff"/>
          <w:rtl w:val="0"/>
          <w14:textFill>
            <w14:solidFill>
              <w14:srgbClr w14:val="292929"/>
            </w14:solidFill>
          </w14:textFill>
        </w:rPr>
      </w:pPr>
      <w:r>
        <w:rPr>
          <w:rStyle w:val="Hyperlink.1"/>
          <w:rFonts w:ascii="Verdana" w:cs="Verdana" w:hAnsi="Verdana" w:eastAsia="Verdana"/>
          <w:outline w:val="0"/>
          <w:color w:val="0067d9"/>
          <w:sz w:val="20"/>
          <w:szCs w:val="20"/>
          <w:u w:val="single" w:color="0067d9"/>
          <w:rtl w:val="0"/>
          <w14:textFill>
            <w14:solidFill>
              <w14:srgbClr w14:val="0068DA"/>
            </w14:solidFill>
          </w14:textFill>
        </w:rPr>
        <w:fldChar w:fldCharType="begin" w:fldLock="0"/>
      </w:r>
      <w:r>
        <w:rPr>
          <w:rStyle w:val="Hyperlink.1"/>
          <w:rFonts w:ascii="Verdana" w:cs="Verdana" w:hAnsi="Verdana" w:eastAsia="Verdana"/>
          <w:outline w:val="0"/>
          <w:color w:val="0067d9"/>
          <w:sz w:val="20"/>
          <w:szCs w:val="20"/>
          <w:u w:val="single" w:color="0067d9"/>
          <w:rtl w:val="0"/>
          <w14:textFill>
            <w14:solidFill>
              <w14:srgbClr w14:val="0068DA"/>
            </w14:solidFill>
          </w14:textFill>
        </w:rPr>
        <w:instrText xml:space="preserve"> HYPERLINK "mailto:isct@ibcomms.agency"</w:instrText>
      </w:r>
      <w:r>
        <w:rPr>
          <w:rStyle w:val="Hyperlink.1"/>
          <w:rFonts w:ascii="Verdana" w:cs="Verdana" w:hAnsi="Verdana" w:eastAsia="Verdana"/>
          <w:outline w:val="0"/>
          <w:color w:val="0067d9"/>
          <w:sz w:val="20"/>
          <w:szCs w:val="20"/>
          <w:u w:val="single" w:color="0067d9"/>
          <w:rtl w:val="0"/>
          <w14:textFill>
            <w14:solidFill>
              <w14:srgbClr w14:val="0068DA"/>
            </w14:solidFill>
          </w14:textFill>
        </w:rPr>
        <w:fldChar w:fldCharType="separate" w:fldLock="0"/>
      </w:r>
      <w:r>
        <w:rPr>
          <w:rStyle w:val="Hyperlink.1"/>
          <w:rFonts w:ascii="Verdana" w:hAnsi="Verdana"/>
          <w:outline w:val="0"/>
          <w:color w:val="0067d9"/>
          <w:sz w:val="20"/>
          <w:szCs w:val="20"/>
          <w:u w:val="single" w:color="0067d9"/>
          <w:rtl w:val="0"/>
          <w:lang w:val="en-US"/>
          <w14:textFill>
            <w14:solidFill>
              <w14:srgbClr w14:val="0068DA"/>
            </w14:solidFill>
          </w14:textFill>
        </w:rPr>
        <w:t>isct@ibcomms.agency</w:t>
      </w:r>
      <w:r>
        <w:rPr>
          <w:rFonts w:ascii="Verdana" w:cs="Verdana" w:hAnsi="Verdana" w:eastAsia="Verdana"/>
          <w:outline w:val="0"/>
          <w:color w:val="0067d9"/>
          <w:sz w:val="20"/>
          <w:szCs w:val="20"/>
          <w:u w:val="single" w:color="0067d9"/>
          <w:rtl w:val="0"/>
          <w14:textFill>
            <w14:solidFill>
              <w14:srgbClr w14:val="0068DA"/>
            </w14:solidFill>
          </w14:textFill>
        </w:rPr>
        <w:fldChar w:fldCharType="end" w:fldLock="0"/>
      </w:r>
    </w:p>
    <w:p>
      <w:pPr>
        <w:pStyle w:val="Default"/>
        <w:bidi w:val="0"/>
        <w:spacing w:before="0" w:line="240" w:lineRule="auto"/>
        <w:ind w:left="0" w:right="0" w:firstLine="0"/>
        <w:jc w:val="both"/>
        <w:rPr>
          <w:rStyle w:val="Hyperlink.1"/>
          <w:rFonts w:ascii="Arial" w:cs="Arial" w:hAnsi="Arial" w:eastAsia="Arial"/>
          <w:outline w:val="0"/>
          <w:color w:val="282828"/>
          <w:sz w:val="20"/>
          <w:szCs w:val="20"/>
          <w:rtl w:val="0"/>
          <w14:textFill>
            <w14:solidFill>
              <w14:srgbClr w14:val="292929"/>
            </w14:solidFill>
          </w14:textFill>
        </w:rPr>
      </w:pPr>
    </w:p>
    <w:p>
      <w:pPr>
        <w:pStyle w:val="Default"/>
        <w:bidi w:val="0"/>
        <w:spacing w:before="0" w:line="240" w:lineRule="auto"/>
        <w:ind w:left="0" w:right="0" w:firstLine="0"/>
        <w:jc w:val="both"/>
        <w:rPr>
          <w:rStyle w:val="None"/>
          <w:rFonts w:ascii="Arial" w:cs="Arial" w:hAnsi="Arial" w:eastAsia="Arial"/>
          <w:b w:val="0"/>
          <w:bCs w:val="0"/>
          <w:outline w:val="0"/>
          <w:color w:val="282828"/>
          <w:sz w:val="20"/>
          <w:szCs w:val="20"/>
          <w:shd w:val="clear" w:color="auto" w:fill="ffffff"/>
          <w:rtl w:val="0"/>
          <w14:textFill>
            <w14:solidFill>
              <w14:srgbClr w14:val="292929"/>
            </w14:solidFill>
          </w14:textFill>
        </w:rPr>
      </w:pPr>
      <w:r>
        <w:rPr>
          <w:rStyle w:val="Hyperlink.1"/>
          <w:rFonts w:ascii="Verdana" w:hAnsi="Verdana"/>
          <w:b w:val="1"/>
          <w:bCs w:val="1"/>
          <w:outline w:val="0"/>
          <w:color w:val="282828"/>
          <w:sz w:val="20"/>
          <w:szCs w:val="20"/>
          <w:rtl w:val="0"/>
          <w:lang w:val="en-US"/>
          <w14:textFill>
            <w14:solidFill>
              <w14:srgbClr w14:val="292929"/>
            </w14:solidFill>
          </w14:textFill>
        </w:rPr>
        <w:t>ISCT issues response to US federal judge ruling on FDA regulation of cell and gene therapies</w:t>
      </w:r>
    </w:p>
    <w:p>
      <w:pPr>
        <w:pStyle w:val="Default"/>
        <w:bidi w:val="0"/>
        <w:spacing w:before="0" w:line="240" w:lineRule="auto"/>
        <w:ind w:left="0" w:right="0" w:firstLine="0"/>
        <w:jc w:val="both"/>
        <w:rPr>
          <w:rStyle w:val="Hyperlink.1"/>
          <w:rFonts w:ascii="Arial" w:cs="Arial" w:hAnsi="Arial" w:eastAsia="Arial"/>
          <w:outline w:val="0"/>
          <w:color w:val="282828"/>
          <w:sz w:val="20"/>
          <w:szCs w:val="20"/>
          <w:rtl w:val="0"/>
          <w14:textFill>
            <w14:solidFill>
              <w14:srgbClr w14:val="292929"/>
            </w14:solidFill>
          </w14:textFill>
        </w:rPr>
      </w:pPr>
    </w:p>
    <w:p>
      <w:pPr>
        <w:pStyle w:val="Default"/>
        <w:numPr>
          <w:ilvl w:val="0"/>
          <w:numId w:val="2"/>
        </w:numPr>
        <w:bidi w:val="0"/>
        <w:spacing w:before="0" w:line="240" w:lineRule="auto"/>
        <w:ind w:right="0"/>
        <w:jc w:val="both"/>
        <w:rPr>
          <w:rFonts w:ascii="Verdana" w:hAnsi="Verdana"/>
          <w:b w:val="1"/>
          <w:bCs w:val="1"/>
          <w:outline w:val="0"/>
          <w:color w:val="282828"/>
          <w:sz w:val="20"/>
          <w:szCs w:val="20"/>
          <w:rtl w:val="0"/>
          <w:lang w:val="en-US"/>
          <w14:textFill>
            <w14:solidFill>
              <w14:srgbClr w14:val="292929"/>
            </w14:solidFill>
          </w14:textFill>
        </w:rPr>
      </w:pPr>
      <w:r>
        <w:rPr>
          <w:rStyle w:val="Hyperlink.1"/>
          <w:rFonts w:ascii="Verdana" w:hAnsi="Verdana"/>
          <w:b w:val="1"/>
          <w:bCs w:val="1"/>
          <w:outline w:val="0"/>
          <w:color w:val="282828"/>
          <w:sz w:val="20"/>
          <w:szCs w:val="20"/>
          <w:rtl w:val="0"/>
          <w:lang w:val="en-US"/>
          <w14:textFill>
            <w14:solidFill>
              <w14:srgbClr w14:val="292929"/>
            </w14:solidFill>
          </w14:textFill>
        </w:rPr>
        <w:t>US federal judge ruling of significant concern, with widespread implications for cell and gene therapy sector as well as patient safety</w:t>
      </w:r>
    </w:p>
    <w:p>
      <w:pPr>
        <w:pStyle w:val="Default"/>
        <w:bidi w:val="0"/>
        <w:spacing w:before="0" w:line="240" w:lineRule="auto"/>
        <w:ind w:left="0" w:right="0" w:firstLine="0"/>
        <w:jc w:val="both"/>
        <w:rPr>
          <w:rStyle w:val="Hyperlink.1"/>
          <w:rFonts w:ascii="Arial" w:cs="Arial" w:hAnsi="Arial" w:eastAsia="Arial"/>
          <w:outline w:val="0"/>
          <w:color w:val="282828"/>
          <w:sz w:val="20"/>
          <w:szCs w:val="20"/>
          <w:rtl w:val="0"/>
          <w14:textFill>
            <w14:solidFill>
              <w14:srgbClr w14:val="292929"/>
            </w14:solidFill>
          </w14:textFill>
        </w:rPr>
      </w:pP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r>
        <w:rPr>
          <w:rStyle w:val="None"/>
          <w:rFonts w:ascii="Verdana" w:hAnsi="Verdana"/>
          <w:b w:val="1"/>
          <w:bCs w:val="1"/>
          <w:outline w:val="0"/>
          <w:color w:val="282828"/>
          <w:sz w:val="20"/>
          <w:szCs w:val="20"/>
          <w:shd w:val="clear" w:color="auto" w:fill="ffffff"/>
          <w:rtl w:val="0"/>
          <w:lang w:val="fr-FR"/>
          <w14:textFill>
            <w14:solidFill>
              <w14:srgbClr w14:val="292929"/>
            </w14:solidFill>
          </w14:textFill>
        </w:rPr>
        <w:t>Vancouver, Canada</w:t>
      </w:r>
      <w:r>
        <w:rPr>
          <w:rStyle w:val="Hyperlink.1"/>
          <w:rFonts w:ascii="Verdana" w:hAnsi="Verdana"/>
          <w:outline w:val="0"/>
          <w:color w:val="282828"/>
          <w:sz w:val="20"/>
          <w:szCs w:val="20"/>
          <w:rtl w:val="0"/>
          <w14:textFill>
            <w14:solidFill>
              <w14:srgbClr w14:val="292929"/>
            </w14:solidFill>
          </w14:textFill>
        </w:rPr>
        <w:t xml:space="preserve">, </w:t>
      </w:r>
      <w:r>
        <w:rPr>
          <w:rStyle w:val="None"/>
          <w:rFonts w:ascii="Verdana" w:hAnsi="Verdana"/>
          <w:b w:val="1"/>
          <w:bCs w:val="1"/>
          <w:outline w:val="0"/>
          <w:color w:val="282828"/>
          <w:sz w:val="20"/>
          <w:szCs w:val="20"/>
          <w:shd w:val="clear" w:color="auto" w:fill="ffffff"/>
          <w:rtl w:val="0"/>
          <w14:textFill>
            <w14:solidFill>
              <w14:srgbClr w14:val="292929"/>
            </w14:solidFill>
          </w14:textFill>
        </w:rPr>
        <w:t>September 12, 2022</w:t>
      </w:r>
      <w:r>
        <w:rPr>
          <w:rStyle w:val="Hyperlink.1"/>
          <w:rFonts w:ascii="Verdana" w:hAnsi="Verdana"/>
          <w:outline w:val="0"/>
          <w:color w:val="282828"/>
          <w:sz w:val="20"/>
          <w:szCs w:val="20"/>
          <w:rtl w:val="0"/>
          <w:lang w:val="ru-RU"/>
          <w14:textFill>
            <w14:solidFill>
              <w14:srgbClr w14:val="292929"/>
            </w14:solidFill>
          </w14:textFill>
        </w:rPr>
        <w:t xml:space="preserve"> - </w:t>
      </w:r>
      <w:r>
        <w:rPr>
          <w:rStyle w:val="Hyperlink.2"/>
          <w:rFonts w:ascii="Verdana" w:cs="Verdana" w:hAnsi="Verdana" w:eastAsia="Verdana"/>
          <w:b w:val="1"/>
          <w:bCs w:val="1"/>
          <w:outline w:val="0"/>
          <w:color w:val="0067d9"/>
          <w:sz w:val="20"/>
          <w:szCs w:val="20"/>
          <w:u w:val="single" w:color="0067d9"/>
          <w:shd w:val="clear" w:color="auto" w:fill="ffffff"/>
          <w:rtl w:val="0"/>
          <w14:textFill>
            <w14:solidFill>
              <w14:srgbClr w14:val="0068DA"/>
            </w14:solidFill>
          </w14:textFill>
        </w:rPr>
        <w:fldChar w:fldCharType="begin" w:fldLock="0"/>
      </w:r>
      <w:r>
        <w:rPr>
          <w:rStyle w:val="Hyperlink.2"/>
          <w:rFonts w:ascii="Verdana" w:cs="Verdana" w:hAnsi="Verdana" w:eastAsia="Verdana"/>
          <w:b w:val="1"/>
          <w:bCs w:val="1"/>
          <w:outline w:val="0"/>
          <w:color w:val="0067d9"/>
          <w:sz w:val="20"/>
          <w:szCs w:val="20"/>
          <w:u w:val="single" w:color="0067d9"/>
          <w:shd w:val="clear" w:color="auto" w:fill="ffffff"/>
          <w:rtl w:val="0"/>
          <w14:textFill>
            <w14:solidFill>
              <w14:srgbClr w14:val="0068DA"/>
            </w14:solidFill>
          </w14:textFill>
        </w:rPr>
        <w:instrText xml:space="preserve"> HYPERLINK "https://isctglobal.org/"</w:instrText>
      </w:r>
      <w:r>
        <w:rPr>
          <w:rStyle w:val="Hyperlink.2"/>
          <w:rFonts w:ascii="Verdana" w:cs="Verdana" w:hAnsi="Verdana" w:eastAsia="Verdana"/>
          <w:b w:val="1"/>
          <w:bCs w:val="1"/>
          <w:outline w:val="0"/>
          <w:color w:val="0067d9"/>
          <w:sz w:val="20"/>
          <w:szCs w:val="20"/>
          <w:u w:val="single" w:color="0067d9"/>
          <w:shd w:val="clear" w:color="auto" w:fill="ffffff"/>
          <w:rtl w:val="0"/>
          <w14:textFill>
            <w14:solidFill>
              <w14:srgbClr w14:val="0068DA"/>
            </w14:solidFill>
          </w14:textFill>
        </w:rPr>
        <w:fldChar w:fldCharType="separate" w:fldLock="0"/>
      </w:r>
      <w:r>
        <w:rPr>
          <w:rStyle w:val="Hyperlink.2"/>
          <w:rFonts w:ascii="Verdana" w:hAnsi="Verdana"/>
          <w:b w:val="1"/>
          <w:bCs w:val="1"/>
          <w:outline w:val="0"/>
          <w:color w:val="0067d9"/>
          <w:sz w:val="20"/>
          <w:szCs w:val="20"/>
          <w:u w:val="single" w:color="0067d9"/>
          <w:shd w:val="clear" w:color="auto" w:fill="ffffff"/>
          <w:rtl w:val="0"/>
          <w:lang w:val="en-US"/>
          <w14:textFill>
            <w14:solidFill>
              <w14:srgbClr w14:val="0068DA"/>
            </w14:solidFill>
          </w14:textFill>
        </w:rPr>
        <w:t>The International Society for Cell &amp; Gene Therapy (ISCT)</w:t>
      </w:r>
      <w:r>
        <w:rPr>
          <w:rFonts w:ascii="Verdana" w:cs="Verdana" w:hAnsi="Verdana" w:eastAsia="Verdana"/>
          <w:outline w:val="0"/>
          <w:color w:val="282828"/>
          <w:sz w:val="20"/>
          <w:szCs w:val="20"/>
          <w:rtl w:val="0"/>
          <w14:textFill>
            <w14:solidFill>
              <w14:srgbClr w14:val="292929"/>
            </w14:solidFill>
          </w14:textFill>
        </w:rPr>
        <w:fldChar w:fldCharType="end" w:fldLock="0"/>
      </w:r>
      <w:r>
        <w:rPr>
          <w:rStyle w:val="Hyperlink.1"/>
          <w:rFonts w:ascii="Verdana" w:hAnsi="Verdana"/>
          <w:outline w:val="0"/>
          <w:color w:val="282828"/>
          <w:sz w:val="20"/>
          <w:szCs w:val="20"/>
          <w:rtl w:val="0"/>
          <w:lang w:val="en-US"/>
          <w14:textFill>
            <w14:solidFill>
              <w14:srgbClr w14:val="292929"/>
            </w14:solidFill>
          </w14:textFill>
        </w:rPr>
        <w:t xml:space="preserve">, the global society of clinicians, researchers, regulators, technologists, and industry partners dedicated to the translation of cell and gene therapy (CGT) into safe and effective therapies to improve patients' lives, today announces its initial sector leadership response to, and concern about, the recent US federal court ruling in favor of California Stem Cell Treatment Center, Inc., and Cell Surgical Network Corporation, asserting </w:t>
      </w:r>
      <w:r>
        <w:rPr>
          <w:rStyle w:val="Hyperlink.1"/>
          <w:rFonts w:ascii="Verdana" w:hAnsi="Verdana" w:hint="default"/>
          <w:outline w:val="0"/>
          <w:color w:val="282828"/>
          <w:sz w:val="20"/>
          <w:szCs w:val="20"/>
          <w:rtl w:val="1"/>
          <w:lang w:val="ar-SA" w:bidi="ar-SA"/>
          <w14:textFill>
            <w14:solidFill>
              <w14:srgbClr w14:val="292929"/>
            </w14:solidFill>
          </w14:textFill>
        </w:rPr>
        <w:t>“</w:t>
      </w:r>
      <w:r>
        <w:rPr>
          <w:rStyle w:val="Hyperlink.1"/>
          <w:rFonts w:ascii="Verdana" w:hAnsi="Verdana"/>
          <w:outline w:val="0"/>
          <w:color w:val="282828"/>
          <w:sz w:val="20"/>
          <w:szCs w:val="20"/>
          <w:rtl w:val="0"/>
          <w:lang w:val="en-US"/>
          <w14:textFill>
            <w14:solidFill>
              <w14:srgbClr w14:val="292929"/>
            </w14:solidFill>
          </w14:textFill>
        </w:rPr>
        <w:t>that neither Defendants</w:t>
      </w:r>
      <w:r>
        <w:rPr>
          <w:rStyle w:val="Hyperlink.1"/>
          <w:rFonts w:ascii="Verdana" w:hAnsi="Verdana" w:hint="default"/>
          <w:outline w:val="0"/>
          <w:color w:val="282828"/>
          <w:sz w:val="20"/>
          <w:szCs w:val="20"/>
          <w:rtl w:val="1"/>
          <w14:textFill>
            <w14:solidFill>
              <w14:srgbClr w14:val="292929"/>
            </w14:solidFill>
          </w14:textFill>
        </w:rPr>
        <w:t xml:space="preserve">’ </w:t>
      </w:r>
      <w:r>
        <w:rPr>
          <w:rStyle w:val="Hyperlink.1"/>
          <w:rFonts w:ascii="Verdana" w:hAnsi="Verdana"/>
          <w:outline w:val="0"/>
          <w:color w:val="282828"/>
          <w:sz w:val="20"/>
          <w:szCs w:val="20"/>
          <w:rtl w:val="0"/>
          <w:lang w:val="en-US"/>
          <w14:textFill>
            <w14:solidFill>
              <w14:srgbClr w14:val="292929"/>
            </w14:solidFill>
          </w14:textFill>
        </w:rPr>
        <w:t xml:space="preserve">SVF Surgical Procedure nor its Expanded MSC Procedure are </w:t>
      </w:r>
      <w:r>
        <w:rPr>
          <w:rStyle w:val="Hyperlink.1"/>
          <w:rFonts w:ascii="Verdana" w:hAnsi="Verdana" w:hint="default"/>
          <w:outline w:val="0"/>
          <w:color w:val="282828"/>
          <w:sz w:val="20"/>
          <w:szCs w:val="20"/>
          <w:rtl w:val="1"/>
          <w:lang w:val="ar-SA" w:bidi="ar-SA"/>
          <w14:textFill>
            <w14:solidFill>
              <w14:srgbClr w14:val="292929"/>
            </w14:solidFill>
          </w14:textFill>
        </w:rPr>
        <w:t>“</w:t>
      </w:r>
      <w:r>
        <w:rPr>
          <w:rStyle w:val="Hyperlink.1"/>
          <w:rFonts w:ascii="Verdana" w:hAnsi="Verdana"/>
          <w:outline w:val="0"/>
          <w:color w:val="282828"/>
          <w:sz w:val="20"/>
          <w:szCs w:val="20"/>
          <w:rtl w:val="0"/>
          <w:lang w:val="nl-NL"/>
          <w14:textFill>
            <w14:solidFill>
              <w14:srgbClr w14:val="292929"/>
            </w14:solidFill>
          </w14:textFill>
        </w:rPr>
        <w:t>drugs</w:t>
      </w:r>
      <w:r>
        <w:rPr>
          <w:rStyle w:val="Hyperlink.1"/>
          <w:rFonts w:ascii="Verdana" w:hAnsi="Verdana" w:hint="default"/>
          <w:outline w:val="0"/>
          <w:color w:val="282828"/>
          <w:sz w:val="20"/>
          <w:szCs w:val="20"/>
          <w:rtl w:val="0"/>
          <w14:textFill>
            <w14:solidFill>
              <w14:srgbClr w14:val="292929"/>
            </w14:solidFill>
          </w14:textFill>
        </w:rPr>
        <w:t xml:space="preserve">” </w:t>
      </w:r>
      <w:r>
        <w:rPr>
          <w:rStyle w:val="Hyperlink.1"/>
          <w:rFonts w:ascii="Verdana" w:hAnsi="Verdana"/>
          <w:outline w:val="0"/>
          <w:color w:val="282828"/>
          <w:sz w:val="20"/>
          <w:szCs w:val="20"/>
          <w:rtl w:val="0"/>
          <w:lang w:val="en-US"/>
          <w14:textFill>
            <w14:solidFill>
              <w14:srgbClr w14:val="292929"/>
            </w14:solidFill>
          </w14:textFill>
        </w:rPr>
        <w:t>within the meaning of the Federal Food, Drug, and Cosmetic Act.</w:t>
      </w:r>
      <w:r>
        <w:rPr>
          <w:rStyle w:val="Hyperlink.1"/>
          <w:rFonts w:ascii="Verdana" w:hAnsi="Verdana" w:hint="default"/>
          <w:outline w:val="0"/>
          <w:color w:val="282828"/>
          <w:sz w:val="20"/>
          <w:szCs w:val="20"/>
          <w:rtl w:val="0"/>
          <w14:textFill>
            <w14:solidFill>
              <w14:srgbClr w14:val="292929"/>
            </w14:solidFill>
          </w14:textFill>
        </w:rPr>
        <w:t>”</w:t>
      </w:r>
    </w:p>
    <w:p>
      <w:pPr>
        <w:pStyle w:val="Default"/>
        <w:bidi w:val="0"/>
        <w:spacing w:before="0" w:line="240" w:lineRule="auto"/>
        <w:ind w:left="0" w:right="0" w:firstLine="0"/>
        <w:jc w:val="both"/>
        <w:rPr>
          <w:rStyle w:val="Hyperlink.1"/>
          <w:rFonts w:ascii="Arial" w:cs="Arial" w:hAnsi="Arial" w:eastAsia="Arial"/>
          <w:outline w:val="0"/>
          <w:color w:val="282828"/>
          <w:sz w:val="20"/>
          <w:szCs w:val="20"/>
          <w:rtl w:val="0"/>
          <w14:textFill>
            <w14:solidFill>
              <w14:srgbClr w14:val="292929"/>
            </w14:solidFill>
          </w14:textFill>
        </w:rPr>
      </w:pP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r>
        <w:rPr>
          <w:rStyle w:val="Hyperlink.1"/>
          <w:rFonts w:ascii="Verdana" w:hAnsi="Verdana"/>
          <w:outline w:val="0"/>
          <w:color w:val="282828"/>
          <w:sz w:val="20"/>
          <w:szCs w:val="20"/>
          <w:rtl w:val="0"/>
          <w:lang w:val="en-US"/>
          <w14:textFill>
            <w14:solidFill>
              <w14:srgbClr w14:val="292929"/>
            </w14:solidFill>
          </w14:textFill>
        </w:rPr>
        <w:t>ISCT believes that this ruling is flawed and has inserted regulatory uncertainty into the CGT market, creating opportunities for clinics offering purported treatments that are scientifically unproven and potentially dangerous to patients.</w:t>
      </w:r>
    </w:p>
    <w:p>
      <w:pPr>
        <w:pStyle w:val="Default"/>
        <w:bidi w:val="0"/>
        <w:spacing w:before="0" w:line="240" w:lineRule="auto"/>
        <w:ind w:left="0" w:right="0" w:firstLine="0"/>
        <w:jc w:val="both"/>
        <w:rPr>
          <w:rStyle w:val="Hyperlink.1"/>
          <w:rFonts w:ascii="Arial" w:cs="Arial" w:hAnsi="Arial" w:eastAsia="Arial"/>
          <w:outline w:val="0"/>
          <w:color w:val="282828"/>
          <w:sz w:val="20"/>
          <w:szCs w:val="20"/>
          <w:rtl w:val="0"/>
          <w14:textFill>
            <w14:solidFill>
              <w14:srgbClr w14:val="292929"/>
            </w14:solidFill>
          </w14:textFill>
        </w:rPr>
      </w:pP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r>
        <w:rPr>
          <w:rStyle w:val="Hyperlink.1"/>
          <w:rFonts w:ascii="Verdana" w:hAnsi="Verdana"/>
          <w:outline w:val="0"/>
          <w:color w:val="282828"/>
          <w:sz w:val="20"/>
          <w:szCs w:val="20"/>
          <w:rtl w:val="0"/>
          <w:lang w:val="en-US"/>
          <w14:textFill>
            <w14:solidFill>
              <w14:srgbClr w14:val="292929"/>
            </w14:solidFill>
          </w14:textFill>
        </w:rPr>
        <w:t>ISCT is concerned that scientific inaccuracies in the ruling may have impacted Judge Bernal</w:t>
      </w:r>
      <w:r>
        <w:rPr>
          <w:rStyle w:val="Hyperlink.1"/>
          <w:rFonts w:ascii="Verdana" w:hAnsi="Verdana" w:hint="default"/>
          <w:outline w:val="0"/>
          <w:color w:val="282828"/>
          <w:sz w:val="20"/>
          <w:szCs w:val="20"/>
          <w:rtl w:val="1"/>
          <w14:textFill>
            <w14:solidFill>
              <w14:srgbClr w14:val="292929"/>
            </w14:solidFill>
          </w14:textFill>
        </w:rPr>
        <w:t>’</w:t>
      </w:r>
      <w:r>
        <w:rPr>
          <w:rStyle w:val="Hyperlink.1"/>
          <w:rFonts w:ascii="Verdana" w:hAnsi="Verdana"/>
          <w:outline w:val="0"/>
          <w:color w:val="282828"/>
          <w:sz w:val="20"/>
          <w:szCs w:val="20"/>
          <w:rtl w:val="0"/>
          <w:lang w:val="en-US"/>
          <w14:textFill>
            <w14:solidFill>
              <w14:srgbClr w14:val="292929"/>
            </w14:solidFill>
          </w14:textFill>
        </w:rPr>
        <w:t>s decision. The ISCT Committee on the Ethics of Cell and Gene Therapy identified several examples of statements that are problematic and unfounded.</w:t>
      </w:r>
    </w:p>
    <w:p>
      <w:pPr>
        <w:pStyle w:val="Default"/>
        <w:bidi w:val="0"/>
        <w:spacing w:before="0" w:line="240" w:lineRule="auto"/>
        <w:ind w:left="0" w:right="0" w:firstLine="0"/>
        <w:jc w:val="both"/>
        <w:rPr>
          <w:rStyle w:val="Hyperlink.1"/>
          <w:rFonts w:ascii="Arial" w:cs="Arial" w:hAnsi="Arial" w:eastAsia="Arial"/>
          <w:outline w:val="0"/>
          <w:color w:val="282828"/>
          <w:sz w:val="20"/>
          <w:szCs w:val="20"/>
          <w:rtl w:val="0"/>
          <w14:textFill>
            <w14:solidFill>
              <w14:srgbClr w14:val="292929"/>
            </w14:solidFill>
          </w14:textFill>
        </w:rPr>
      </w:pP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r>
        <w:rPr>
          <w:rStyle w:val="Hyperlink.1"/>
          <w:rFonts w:ascii="Verdana" w:hAnsi="Verdana"/>
          <w:outline w:val="0"/>
          <w:color w:val="282828"/>
          <w:sz w:val="20"/>
          <w:szCs w:val="20"/>
          <w:rtl w:val="0"/>
          <w:lang w:val="en-US"/>
          <w14:textFill>
            <w14:solidFill>
              <w14:srgbClr w14:val="292929"/>
            </w14:solidFill>
          </w14:textFill>
        </w:rPr>
        <w:t>Firstly, the ruling made several statements concerning stromal vascular fraction (SVF) that are both inaccurate and unsupported by current scientific knowledge. The ruling mistakenly claims the production of SVF is essentially equivalent to surgery and mischaracterizes SVF as a naturally occurring, circulating, unaltered biological entity that is simply relocated from adipose tissue to other diseased parts of the body by surgical means.</w:t>
      </w:r>
    </w:p>
    <w:p>
      <w:pPr>
        <w:pStyle w:val="Default"/>
        <w:bidi w:val="0"/>
        <w:spacing w:before="0" w:line="240" w:lineRule="auto"/>
        <w:ind w:left="0" w:right="0" w:firstLine="0"/>
        <w:jc w:val="both"/>
        <w:rPr>
          <w:rStyle w:val="Hyperlink.1"/>
          <w:rFonts w:ascii="Arial" w:cs="Arial" w:hAnsi="Arial" w:eastAsia="Arial"/>
          <w:outline w:val="0"/>
          <w:color w:val="282828"/>
          <w:sz w:val="20"/>
          <w:szCs w:val="20"/>
          <w:rtl w:val="0"/>
          <w14:textFill>
            <w14:solidFill>
              <w14:srgbClr w14:val="292929"/>
            </w14:solidFill>
          </w14:textFill>
        </w:rPr>
      </w:pP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r>
        <w:rPr>
          <w:rStyle w:val="Hyperlink.1"/>
          <w:rFonts w:ascii="Verdana" w:hAnsi="Verdana"/>
          <w:outline w:val="0"/>
          <w:color w:val="282828"/>
          <w:sz w:val="20"/>
          <w:szCs w:val="20"/>
          <w:rtl w:val="0"/>
          <w:lang w:val="en-US"/>
          <w14:textFill>
            <w14:solidFill>
              <w14:srgbClr w14:val="292929"/>
            </w14:solidFill>
          </w14:textFill>
        </w:rPr>
        <w:t>Secondly, the assertion that the clinical networks use FDA-authorized devices to produce autologous stem cell-based interventions does not take into account that the devices in question may not have been authorized by the FDA, or authorized for other purposes, and have not been designed for the production of stem cell therapies.</w:t>
      </w:r>
    </w:p>
    <w:p>
      <w:pPr>
        <w:pStyle w:val="Default"/>
        <w:bidi w:val="0"/>
        <w:spacing w:before="0" w:line="240" w:lineRule="auto"/>
        <w:ind w:left="0" w:right="0" w:firstLine="0"/>
        <w:jc w:val="both"/>
        <w:rPr>
          <w:rStyle w:val="Hyperlink.1"/>
          <w:rFonts w:ascii="Arial" w:cs="Arial" w:hAnsi="Arial" w:eastAsia="Arial"/>
          <w:outline w:val="0"/>
          <w:color w:val="282828"/>
          <w:sz w:val="20"/>
          <w:szCs w:val="20"/>
          <w:rtl w:val="0"/>
          <w14:textFill>
            <w14:solidFill>
              <w14:srgbClr w14:val="292929"/>
            </w14:solidFill>
          </w14:textFill>
        </w:rPr>
      </w:pP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r>
        <w:rPr>
          <w:rStyle w:val="Hyperlink.1"/>
          <w:rFonts w:ascii="Verdana" w:hAnsi="Verdana"/>
          <w:outline w:val="0"/>
          <w:color w:val="282828"/>
          <w:sz w:val="20"/>
          <w:szCs w:val="20"/>
          <w:rtl w:val="0"/>
          <w:lang w:val="en-US"/>
          <w14:textFill>
            <w14:solidFill>
              <w14:srgbClr w14:val="292929"/>
            </w14:solidFill>
          </w14:textFill>
        </w:rPr>
        <w:t>Thirdly, the statement that culture-expanded mesenchymal stem cells (MSCs) should not be regulated as drugs conflicts with scientific evidence. This statement opens the door to unchecked administration of poorly characterized and non-standardized cell preparations with unknown safety and efficacy and may pose significant risks to patients.</w:t>
      </w:r>
    </w:p>
    <w:p>
      <w:pPr>
        <w:pStyle w:val="Default"/>
        <w:bidi w:val="0"/>
        <w:spacing w:before="0" w:line="240" w:lineRule="auto"/>
        <w:ind w:left="0" w:right="0" w:firstLine="0"/>
        <w:jc w:val="both"/>
        <w:rPr>
          <w:rStyle w:val="Hyperlink.1"/>
          <w:rFonts w:ascii="Arial" w:cs="Arial" w:hAnsi="Arial" w:eastAsia="Arial"/>
          <w:outline w:val="0"/>
          <w:color w:val="282828"/>
          <w:sz w:val="20"/>
          <w:szCs w:val="20"/>
          <w:rtl w:val="0"/>
          <w14:textFill>
            <w14:solidFill>
              <w14:srgbClr w14:val="292929"/>
            </w14:solidFill>
          </w14:textFill>
        </w:rPr>
      </w:pP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r>
        <w:rPr>
          <w:rStyle w:val="Hyperlink.1"/>
          <w:rFonts w:ascii="Verdana" w:hAnsi="Verdana"/>
          <w:outline w:val="0"/>
          <w:color w:val="282828"/>
          <w:sz w:val="20"/>
          <w:szCs w:val="20"/>
          <w:rtl w:val="0"/>
          <w:lang w:val="en-US"/>
          <w14:textFill>
            <w14:solidFill>
              <w14:srgbClr w14:val="292929"/>
            </w14:solidFill>
          </w14:textFill>
        </w:rPr>
        <w:t>ISCT is committed to the development of evidence-based stem cell therapies and acknowledges the vital role of regulatory bodies such as the US FDA. ISCT will continue to develop tools and educational resources that support and promote the development of safe and effective CGTs globally.</w:t>
      </w:r>
    </w:p>
    <w:p>
      <w:pPr>
        <w:pStyle w:val="Default"/>
        <w:bidi w:val="0"/>
        <w:spacing w:before="0" w:line="240" w:lineRule="auto"/>
        <w:ind w:left="0" w:right="0" w:firstLine="0"/>
        <w:jc w:val="both"/>
        <w:rPr>
          <w:rStyle w:val="Hyperlink.1"/>
          <w:rFonts w:ascii="Arial" w:cs="Arial" w:hAnsi="Arial" w:eastAsia="Arial"/>
          <w:outline w:val="0"/>
          <w:color w:val="282828"/>
          <w:sz w:val="20"/>
          <w:szCs w:val="20"/>
          <w:rtl w:val="0"/>
          <w14:textFill>
            <w14:solidFill>
              <w14:srgbClr w14:val="292929"/>
            </w14:solidFill>
          </w14:textFill>
        </w:rPr>
      </w:pP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r>
        <w:rPr>
          <w:rStyle w:val="Hyperlink.1"/>
          <w:rFonts w:ascii="Verdana" w:hAnsi="Verdana"/>
          <w:outline w:val="0"/>
          <w:color w:val="282828"/>
          <w:sz w:val="20"/>
          <w:szCs w:val="20"/>
          <w:rtl w:val="0"/>
          <w:lang w:val="en-US"/>
          <w14:textFill>
            <w14:solidFill>
              <w14:srgbClr w14:val="292929"/>
            </w14:solidFill>
          </w14:textFill>
        </w:rPr>
        <w:t>Speaking on the ruling Laertis Ikonomou, PhD, Chair, ISCT Committee on the Ethics of Cell and Gene Therapy said, "ISCT has worked for many years now, alongside the FDA and other regulators across the globe, to ensure all those offering cell and gene, and advanced therapies, operate within established clinical regulatory frameworks to uphold scientific standards and ensure treatments are safe and effective before they reach patients. CGTs currently hold unparalleled potential to treat a vast range of conditions that are underserved needs. However, as one of the most advanced and novel fields of medicine, enhancing patient's own cells, these therapies must operate entirely through a global regulatory framework subject to the most stringent scientific standards."</w:t>
      </w:r>
    </w:p>
    <w:p>
      <w:pPr>
        <w:pStyle w:val="Default"/>
        <w:bidi w:val="0"/>
        <w:spacing w:before="0" w:line="240" w:lineRule="auto"/>
        <w:ind w:left="0" w:right="0" w:firstLine="0"/>
        <w:jc w:val="both"/>
        <w:rPr>
          <w:rStyle w:val="Hyperlink.1"/>
          <w:rFonts w:ascii="Arial" w:cs="Arial" w:hAnsi="Arial" w:eastAsia="Arial"/>
          <w:outline w:val="0"/>
          <w:color w:val="282828"/>
          <w:sz w:val="20"/>
          <w:szCs w:val="20"/>
          <w:rtl w:val="0"/>
          <w14:textFill>
            <w14:solidFill>
              <w14:srgbClr w14:val="292929"/>
            </w14:solidFill>
          </w14:textFill>
        </w:rPr>
      </w:pP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r>
        <w:rPr>
          <w:rStyle w:val="Hyperlink.1"/>
          <w:rFonts w:ascii="Verdana" w:hAnsi="Verdana"/>
          <w:outline w:val="0"/>
          <w:color w:val="282828"/>
          <w:sz w:val="20"/>
          <w:szCs w:val="20"/>
          <w:rtl w:val="0"/>
          <w:lang w:val="en-US"/>
          <w14:textFill>
            <w14:solidFill>
              <w14:srgbClr w14:val="292929"/>
            </w14:solidFill>
          </w14:textFill>
        </w:rPr>
        <w:t>ISCT President Jacques Galipeau, MD, commented, "This ruling introduces regulatory uncertainty into the CGT market, and unscrupulous clinics prey on this uncertainty to market unproven interventions to patients. The ruling reinforces the imperative market need for informative resources that establish scientific consensus, standards, and best practices. ISCT will continue to work with FDA and other like-minded national and international organizations and regulatory agencies to achieve ISCT</w:t>
      </w:r>
      <w:r>
        <w:rPr>
          <w:rStyle w:val="Hyperlink.1"/>
          <w:rFonts w:ascii="Verdana" w:hAnsi="Verdana" w:hint="default"/>
          <w:outline w:val="0"/>
          <w:color w:val="282828"/>
          <w:sz w:val="20"/>
          <w:szCs w:val="20"/>
          <w:rtl w:val="1"/>
          <w14:textFill>
            <w14:solidFill>
              <w14:srgbClr w14:val="292929"/>
            </w14:solidFill>
          </w14:textFill>
        </w:rPr>
        <w:t>’</w:t>
      </w:r>
      <w:r>
        <w:rPr>
          <w:rStyle w:val="Hyperlink.1"/>
          <w:rFonts w:ascii="Verdana" w:hAnsi="Verdana"/>
          <w:outline w:val="0"/>
          <w:color w:val="282828"/>
          <w:sz w:val="20"/>
          <w:szCs w:val="20"/>
          <w:rtl w:val="0"/>
          <w:lang w:val="en-US"/>
          <w14:textFill>
            <w14:solidFill>
              <w14:srgbClr w14:val="292929"/>
            </w14:solidFill>
          </w14:textFill>
        </w:rPr>
        <w:t>s mission to drive clinical translation of cell and gene therapies worldwide."</w:t>
      </w:r>
    </w:p>
    <w:p>
      <w:pPr>
        <w:pStyle w:val="Default"/>
        <w:bidi w:val="0"/>
        <w:spacing w:before="0" w:line="240" w:lineRule="auto"/>
        <w:ind w:left="0" w:right="0" w:firstLine="0"/>
        <w:jc w:val="both"/>
        <w:rPr>
          <w:rStyle w:val="Hyperlink.1"/>
          <w:rFonts w:ascii="Arial" w:cs="Arial" w:hAnsi="Arial" w:eastAsia="Arial"/>
          <w:outline w:val="0"/>
          <w:color w:val="282828"/>
          <w:sz w:val="20"/>
          <w:szCs w:val="20"/>
          <w:rtl w:val="0"/>
          <w14:textFill>
            <w14:solidFill>
              <w14:srgbClr w14:val="292929"/>
            </w14:solidFill>
          </w14:textFill>
        </w:rPr>
      </w:pPr>
    </w:p>
    <w:p>
      <w:pPr>
        <w:pStyle w:val="Default"/>
        <w:bidi w:val="0"/>
        <w:spacing w:before="0" w:line="240" w:lineRule="auto"/>
        <w:ind w:left="0" w:right="0" w:firstLine="0"/>
        <w:jc w:val="center"/>
        <w:rPr>
          <w:rStyle w:val="None"/>
          <w:rFonts w:ascii="Arial" w:cs="Arial" w:hAnsi="Arial" w:eastAsia="Arial"/>
          <w:b w:val="0"/>
          <w:bCs w:val="0"/>
          <w:outline w:val="0"/>
          <w:color w:val="282828"/>
          <w:sz w:val="20"/>
          <w:szCs w:val="20"/>
          <w:shd w:val="clear" w:color="auto" w:fill="ffffff"/>
          <w:rtl w:val="0"/>
          <w14:textFill>
            <w14:solidFill>
              <w14:srgbClr w14:val="292929"/>
            </w14:solidFill>
          </w14:textFill>
        </w:rPr>
      </w:pPr>
      <w:r>
        <w:rPr>
          <w:rStyle w:val="Hyperlink.1"/>
          <w:rFonts w:ascii="Verdana" w:hAnsi="Verdana"/>
          <w:b w:val="1"/>
          <w:bCs w:val="1"/>
          <w:outline w:val="0"/>
          <w:color w:val="282828"/>
          <w:sz w:val="20"/>
          <w:szCs w:val="20"/>
          <w:rtl w:val="0"/>
          <w:lang w:val="de-DE"/>
          <w14:textFill>
            <w14:solidFill>
              <w14:srgbClr w14:val="292929"/>
            </w14:solidFill>
          </w14:textFill>
        </w:rPr>
        <w:t>ENDS</w:t>
      </w:r>
    </w:p>
    <w:p>
      <w:pPr>
        <w:pStyle w:val="Default"/>
        <w:bidi w:val="0"/>
        <w:spacing w:before="0" w:line="240" w:lineRule="auto"/>
        <w:ind w:left="0" w:right="0" w:firstLine="0"/>
        <w:jc w:val="both"/>
        <w:rPr>
          <w:rStyle w:val="Hyperlink.1"/>
          <w:rFonts w:ascii="Arial" w:cs="Arial" w:hAnsi="Arial" w:eastAsia="Arial"/>
          <w:outline w:val="0"/>
          <w:color w:val="282828"/>
          <w:sz w:val="20"/>
          <w:szCs w:val="20"/>
          <w:rtl w:val="0"/>
          <w14:textFill>
            <w14:solidFill>
              <w14:srgbClr w14:val="292929"/>
            </w14:solidFill>
          </w14:textFill>
        </w:rPr>
      </w:pPr>
    </w:p>
    <w:p>
      <w:pPr>
        <w:pStyle w:val="Default"/>
        <w:bidi w:val="0"/>
        <w:spacing w:before="0" w:line="240" w:lineRule="auto"/>
        <w:ind w:left="0" w:right="0" w:firstLine="0"/>
        <w:jc w:val="both"/>
        <w:rPr>
          <w:rStyle w:val="None"/>
          <w:rFonts w:ascii="Arial" w:cs="Arial" w:hAnsi="Arial" w:eastAsia="Arial"/>
          <w:b w:val="0"/>
          <w:bCs w:val="0"/>
          <w:outline w:val="0"/>
          <w:color w:val="282828"/>
          <w:sz w:val="20"/>
          <w:szCs w:val="20"/>
          <w:shd w:val="clear" w:color="auto" w:fill="ffffff"/>
          <w:rtl w:val="0"/>
          <w14:textFill>
            <w14:solidFill>
              <w14:srgbClr w14:val="292929"/>
            </w14:solidFill>
          </w14:textFill>
        </w:rPr>
      </w:pPr>
      <w:r>
        <w:rPr>
          <w:rStyle w:val="Hyperlink.1"/>
          <w:rFonts w:ascii="Verdana" w:hAnsi="Verdana"/>
          <w:b w:val="1"/>
          <w:bCs w:val="1"/>
          <w:outline w:val="0"/>
          <w:color w:val="282828"/>
          <w:sz w:val="20"/>
          <w:szCs w:val="20"/>
          <w:rtl w:val="0"/>
          <w:lang w:val="en-US"/>
          <w14:textFill>
            <w14:solidFill>
              <w14:srgbClr w14:val="292929"/>
            </w14:solidFill>
          </w14:textFill>
        </w:rPr>
        <w:t>About the International Society for Cell &amp; Gene Therapy</w:t>
      </w: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r>
        <w:rPr>
          <w:rStyle w:val="Hyperlink.1"/>
          <w:rFonts w:ascii="Verdana" w:hAnsi="Verdana"/>
          <w:outline w:val="0"/>
          <w:color w:val="282828"/>
          <w:sz w:val="20"/>
          <w:szCs w:val="20"/>
          <w:rtl w:val="0"/>
          <w:lang w:val="en-US"/>
          <w14:textFill>
            <w14:solidFill>
              <w14:srgbClr w14:val="292929"/>
            </w14:solidFill>
          </w14:textFill>
        </w:rPr>
        <w:t>Established in 1992, the International Society for Cell &amp; Gene Therapy (ISCT) is a global society of clinicians, regulators, researchers, technologists, and industry partners with a shared vision to translate cell and gene therapy into safe and effective therapies to improve patients' lives worldwide.</w:t>
      </w:r>
    </w:p>
    <w:p>
      <w:pPr>
        <w:pStyle w:val="Default"/>
        <w:bidi w:val="0"/>
        <w:spacing w:before="0" w:line="240" w:lineRule="auto"/>
        <w:ind w:left="0" w:right="0" w:firstLine="0"/>
        <w:jc w:val="both"/>
        <w:rPr>
          <w:rtl w:val="0"/>
        </w:rPr>
      </w:pPr>
      <w:r>
        <w:rPr>
          <w:rStyle w:val="Hyperlink.1"/>
          <w:rFonts w:ascii="Verdana" w:hAnsi="Verdana"/>
          <w:outline w:val="0"/>
          <w:color w:val="282828"/>
          <w:sz w:val="20"/>
          <w:szCs w:val="20"/>
          <w:rtl w:val="0"/>
          <w:lang w:val="en-US"/>
          <w14:textFill>
            <w14:solidFill>
              <w14:srgbClr w14:val="292929"/>
            </w14:solidFill>
          </w14:textFill>
        </w:rPr>
        <w:t xml:space="preserve">ISCT is the global leader focused on pre-clinical and translational aspects of developing cell and gene-based therapeutics, thereby advancing scientific research into innovative treatments for patients. ISCT offers a unique collaborative environment that addresses three key areas of translation: Academia, Regulatory, and Commercialization. Through strong relationships with global regulatory agencies, academic institutions, and industry partners, ISCT drives the advancement of research into a standard of care. Comprised of over 2,700 cell and gene therapy experts across five geographic regions and representation from over 60 countries, ISCT members are part of a global community of peers, thought leaders, and organizations invested in cell and gene therapy translation. For more information about the society, key initiatives, and upcoming meetings, please visit </w:t>
      </w:r>
      <w:r>
        <w:rPr>
          <w:rStyle w:val="Hyperlink.3"/>
          <w:rFonts w:ascii="Verdana" w:cs="Verdana" w:hAnsi="Verdana" w:eastAsia="Verdana"/>
          <w:outline w:val="0"/>
          <w:color w:val="0067d9"/>
          <w:sz w:val="20"/>
          <w:szCs w:val="20"/>
          <w:u w:val="single" w:color="0067d9"/>
          <w:shd w:val="clear" w:color="auto" w:fill="ffffff"/>
          <w:rtl w:val="0"/>
          <w14:textFill>
            <w14:solidFill>
              <w14:srgbClr w14:val="0068DA"/>
            </w14:solidFill>
          </w14:textFill>
        </w:rPr>
        <w:fldChar w:fldCharType="begin" w:fldLock="0"/>
      </w:r>
      <w:r>
        <w:rPr>
          <w:rStyle w:val="Hyperlink.3"/>
          <w:rFonts w:ascii="Verdana" w:cs="Verdana" w:hAnsi="Verdana" w:eastAsia="Verdana"/>
          <w:outline w:val="0"/>
          <w:color w:val="0067d9"/>
          <w:sz w:val="20"/>
          <w:szCs w:val="20"/>
          <w:u w:val="single" w:color="0067d9"/>
          <w:shd w:val="clear" w:color="auto" w:fill="ffffff"/>
          <w:rtl w:val="0"/>
          <w14:textFill>
            <w14:solidFill>
              <w14:srgbClr w14:val="0068DA"/>
            </w14:solidFill>
          </w14:textFill>
        </w:rPr>
        <w:instrText xml:space="preserve"> HYPERLINK "https://isctglobal.org/"</w:instrText>
      </w:r>
      <w:r>
        <w:rPr>
          <w:rStyle w:val="Hyperlink.3"/>
          <w:rFonts w:ascii="Verdana" w:cs="Verdana" w:hAnsi="Verdana" w:eastAsia="Verdana"/>
          <w:outline w:val="0"/>
          <w:color w:val="0067d9"/>
          <w:sz w:val="20"/>
          <w:szCs w:val="20"/>
          <w:u w:val="single" w:color="0067d9"/>
          <w:shd w:val="clear" w:color="auto" w:fill="ffffff"/>
          <w:rtl w:val="0"/>
          <w14:textFill>
            <w14:solidFill>
              <w14:srgbClr w14:val="0068DA"/>
            </w14:solidFill>
          </w14:textFill>
        </w:rPr>
        <w:fldChar w:fldCharType="separate" w:fldLock="0"/>
      </w:r>
      <w:r>
        <w:rPr>
          <w:rStyle w:val="Hyperlink.3"/>
          <w:rFonts w:ascii="Verdana" w:hAnsi="Verdana"/>
          <w:outline w:val="0"/>
          <w:color w:val="0067d9"/>
          <w:sz w:val="20"/>
          <w:szCs w:val="20"/>
          <w:u w:val="single" w:color="0067d9"/>
          <w:shd w:val="clear" w:color="auto" w:fill="ffffff"/>
          <w:rtl w:val="0"/>
          <w:lang w:val="de-DE"/>
          <w14:textFill>
            <w14:solidFill>
              <w14:srgbClr w14:val="0068DA"/>
            </w14:solidFill>
          </w14:textFill>
        </w:rPr>
        <w:t>https://isctglobal.org</w:t>
      </w:r>
      <w:r>
        <w:rPr>
          <w:rFonts w:ascii="Verdana" w:cs="Verdana" w:hAnsi="Verdana" w:eastAsia="Verdana"/>
          <w:outline w:val="0"/>
          <w:color w:val="282828"/>
          <w:sz w:val="20"/>
          <w:szCs w:val="20"/>
          <w:rtl w:val="0"/>
          <w14:textFill>
            <w14:solidFill>
              <w14:srgbClr w14:val="292929"/>
            </w14:solidFill>
          </w14:textFill>
        </w:rPr>
        <w:fldChar w:fldCharType="end" w:fldLock="0"/>
      </w:r>
      <w:r>
        <w:rPr>
          <w:rStyle w:val="Hyperlink.1"/>
          <w:rFonts w:ascii="Verdana" w:hAnsi="Verdana"/>
          <w:outline w:val="0"/>
          <w:color w:val="282828"/>
          <w:sz w:val="20"/>
          <w:szCs w:val="20"/>
          <w:rtl w:val="0"/>
          <w14:textFill>
            <w14:solidFill>
              <w14:srgbClr w14:val="292929"/>
            </w14:solidFill>
          </w14:textFill>
        </w:rPr>
        <w:t>, @ISCTglobal.</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0"/>
        <w:highlight w:val="none"/>
        <w:vertAlign w:val="baseline"/>
      </w:rPr>
    </w:lvl>
    <w:lvl w:ilvl="1">
      <w:start w:val="1"/>
      <w:numFmt w:val="bullet"/>
      <w:suff w:val="tab"/>
      <w:lvlText w:val="•"/>
      <w:lvlJc w:val="left"/>
      <w:pPr>
        <w:ind w:left="852" w:hanging="412"/>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2">
      <w:start w:val="1"/>
      <w:numFmt w:val="bullet"/>
      <w:suff w:val="tab"/>
      <w:lvlText w:val="•"/>
      <w:lvlJc w:val="left"/>
      <w:pPr>
        <w:ind w:left="1072" w:hanging="412"/>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3">
      <w:start w:val="1"/>
      <w:numFmt w:val="bullet"/>
      <w:suff w:val="tab"/>
      <w:lvlText w:val="•"/>
      <w:lvlJc w:val="left"/>
      <w:pPr>
        <w:ind w:left="1292" w:hanging="412"/>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4">
      <w:start w:val="1"/>
      <w:numFmt w:val="bullet"/>
      <w:suff w:val="tab"/>
      <w:lvlText w:val="•"/>
      <w:lvlJc w:val="left"/>
      <w:pPr>
        <w:ind w:left="1512" w:hanging="412"/>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5">
      <w:start w:val="1"/>
      <w:numFmt w:val="bullet"/>
      <w:suff w:val="tab"/>
      <w:lvlText w:val="•"/>
      <w:lvlJc w:val="left"/>
      <w:pPr>
        <w:ind w:left="1732" w:hanging="412"/>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6">
      <w:start w:val="1"/>
      <w:numFmt w:val="bullet"/>
      <w:suff w:val="tab"/>
      <w:lvlText w:val="•"/>
      <w:lvlJc w:val="left"/>
      <w:pPr>
        <w:ind w:left="1952" w:hanging="412"/>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7">
      <w:start w:val="1"/>
      <w:numFmt w:val="bullet"/>
      <w:suff w:val="tab"/>
      <w:lvlText w:val="•"/>
      <w:lvlJc w:val="left"/>
      <w:pPr>
        <w:ind w:left="2172" w:hanging="412"/>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8">
      <w:start w:val="1"/>
      <w:numFmt w:val="bullet"/>
      <w:suff w:val="tab"/>
      <w:lvlText w:val="•"/>
      <w:lvlJc w:val="left"/>
      <w:pPr>
        <w:ind w:left="2392" w:hanging="412"/>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character" w:styleId="None">
    <w:name w:val="None"/>
  </w:style>
  <w:style w:type="character" w:styleId="Hyperlink.1">
    <w:name w:val="Hyperlink.1"/>
    <w:basedOn w:val="None"/>
    <w:next w:val="Hyperlink.1"/>
    <w:rPr>
      <w:shd w:val="clear" w:color="auto" w:fill="ffffff"/>
    </w:rPr>
  </w:style>
  <w:style w:type="numbering" w:styleId="Bullet">
    <w:name w:val="Bullet"/>
    <w:pPr>
      <w:numPr>
        <w:numId w:val="1"/>
      </w:numPr>
    </w:pPr>
  </w:style>
  <w:style w:type="character" w:styleId="Hyperlink.2">
    <w:name w:val="Hyperlink.2"/>
    <w:basedOn w:val="None"/>
    <w:next w:val="Hyperlink.2"/>
    <w:rPr>
      <w:b w:val="1"/>
      <w:bCs w:val="1"/>
      <w:outline w:val="0"/>
      <w:color w:val="0067d9"/>
      <w:u w:val="single" w:color="0067d9"/>
      <w:shd w:val="clear" w:color="auto" w:fill="ffffff"/>
      <w14:textFill>
        <w14:solidFill>
          <w14:srgbClr w14:val="0068DA"/>
        </w14:solidFill>
      </w14:textFill>
    </w:rPr>
  </w:style>
  <w:style w:type="character" w:styleId="Hyperlink.3">
    <w:name w:val="Hyperlink.3"/>
    <w:basedOn w:val="None"/>
    <w:next w:val="Hyperlink.3"/>
    <w:rPr>
      <w:outline w:val="0"/>
      <w:color w:val="0067d9"/>
      <w:u w:val="single" w:color="0067d9"/>
      <w:shd w:val="clear" w:color="auto" w:fill="ffffff"/>
      <w14:textFill>
        <w14:solidFill>
          <w14:srgbClr w14:val="0068DA"/>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