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able Style 2"/>
        <w:suppressAutoHyphens w:val="1"/>
        <w:jc w:val="right"/>
        <w:rPr>
          <w:rFonts w:ascii="Verdana" w:hAnsi="Verdana"/>
          <w:b w:val="1"/>
          <w:bCs w:val="1"/>
          <w:sz w:val="18"/>
          <w:szCs w:val="18"/>
        </w:rPr>
      </w:pPr>
    </w:p>
    <w:p>
      <w:pPr>
        <w:pStyle w:val="Table Style 2"/>
        <w:suppressAutoHyphens w:val="1"/>
        <w:jc w:val="right"/>
        <w:rPr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Press Release</w:t>
      </w:r>
    </w:p>
    <w:p>
      <w:pPr>
        <w:pStyle w:val="Table Style 2"/>
        <w:suppressAutoHyphens w:val="1"/>
        <w:jc w:val="right"/>
        <w:rPr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fr-FR"/>
        </w:rPr>
        <w:t>IB Communications</w:t>
      </w:r>
    </w:p>
    <w:p>
      <w:pPr>
        <w:pStyle w:val="Table Style 2"/>
        <w:suppressAutoHyphens w:val="1"/>
        <w:jc w:val="right"/>
        <w:rPr>
          <w:rFonts w:ascii="Verdana" w:cs="Verdana" w:hAnsi="Verdana" w:eastAsia="Verdana"/>
          <w:sz w:val="18"/>
          <w:szCs w:val="18"/>
          <w:u w:color="0000ff"/>
        </w:rPr>
      </w:pPr>
      <w:r>
        <w:rPr>
          <w:rStyle w:val="Hyperlink.0"/>
          <w:rFonts w:ascii="Verdana" w:cs="Verdana" w:hAnsi="Verdana" w:eastAsia="Verdana"/>
          <w:sz w:val="18"/>
          <w:szCs w:val="18"/>
          <w:u w:color="0000ff"/>
        </w:rPr>
        <w:fldChar w:fldCharType="begin" w:fldLock="0"/>
      </w:r>
      <w:r>
        <w:rPr>
          <w:rStyle w:val="Hyperlink.0"/>
          <w:rFonts w:ascii="Verdana" w:cs="Verdana" w:hAnsi="Verdana" w:eastAsia="Verdana"/>
          <w:sz w:val="18"/>
          <w:szCs w:val="18"/>
          <w:u w:color="0000ff"/>
        </w:rPr>
        <w:instrText xml:space="preserve"> HYPERLINK "mailto:exmoor@ibcomms.agency"</w:instrText>
      </w:r>
      <w:r>
        <w:rPr>
          <w:rStyle w:val="Hyperlink.0"/>
          <w:rFonts w:ascii="Verdana" w:cs="Verdana" w:hAnsi="Verdana" w:eastAsia="Verdana"/>
          <w:sz w:val="18"/>
          <w:szCs w:val="18"/>
          <w:u w:color="0000ff"/>
        </w:rPr>
        <w:fldChar w:fldCharType="separate" w:fldLock="0"/>
      </w:r>
      <w:r>
        <w:rPr>
          <w:rStyle w:val="Hyperlink.0"/>
          <w:rFonts w:ascii="Verdana" w:hAnsi="Verdana"/>
          <w:sz w:val="18"/>
          <w:szCs w:val="18"/>
          <w:u w:color="0000ff"/>
          <w:rtl w:val="0"/>
          <w:lang w:val="en-US"/>
        </w:rPr>
        <w:t>cellprothera@ibcomms.agency</w:t>
      </w:r>
      <w:r>
        <w:rPr>
          <w:rFonts w:ascii="Verdana" w:cs="Verdana" w:hAnsi="Verdana" w:eastAsia="Verdana"/>
          <w:sz w:val="18"/>
          <w:szCs w:val="18"/>
          <w:u w:color="0000ff"/>
        </w:rPr>
        <w:fldChar w:fldCharType="end" w:fldLock="0"/>
      </w:r>
    </w:p>
    <w:p>
      <w:pPr>
        <w:pStyle w:val="Table Style 2"/>
        <w:suppressAutoHyphens w:val="1"/>
        <w:jc w:val="right"/>
        <w:rPr>
          <w:rFonts w:ascii="Verdana" w:cs="Verdana" w:hAnsi="Verdana" w:eastAsia="Verdana"/>
          <w:sz w:val="18"/>
          <w:szCs w:val="18"/>
          <w:u w:color="0000ff"/>
        </w:rPr>
      </w:pPr>
    </w:p>
    <w:p>
      <w:pPr>
        <w:pStyle w:val="Table Style 2"/>
        <w:suppressAutoHyphens w:val="1"/>
        <w:jc w:val="right"/>
        <w:rPr>
          <w:rFonts w:ascii="Verdana" w:cs="Verdana" w:hAnsi="Verdana" w:eastAsia="Verdana"/>
          <w:sz w:val="18"/>
          <w:szCs w:val="18"/>
          <w:u w:color="0000ff"/>
        </w:rPr>
      </w:pPr>
    </w:p>
    <w:p>
      <w:pPr>
        <w:pStyle w:val="Table Style 2"/>
        <w:suppressAutoHyphens w:val="1"/>
        <w:jc w:val="right"/>
        <w:rPr>
          <w:rFonts w:ascii="Verdana" w:cs="Verdana" w:hAnsi="Verdana" w:eastAsia="Verdana"/>
          <w:sz w:val="18"/>
          <w:szCs w:val="18"/>
          <w:u w:color="0000ff"/>
        </w:rPr>
      </w:pP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CellProthera announces peer-reviewed publication of its Phase I/IIb results on safety and feasibility of ProtheraCytes</w:t>
      </w:r>
      <w:r>
        <w:rPr>
          <w:rFonts w:ascii="Verdana" w:hAnsi="Verdana" w:hint="default"/>
          <w:b w:val="1"/>
          <w:bCs w:val="1"/>
          <w:sz w:val="18"/>
          <w:szCs w:val="18"/>
          <w:rtl w:val="0"/>
        </w:rPr>
        <w:t xml:space="preserve">® </w:t>
      </w: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in patients with severe heart failure post-myocardial infarction</w:t>
      </w:r>
      <w:r>
        <w:rPr>
          <w:rFonts w:ascii="Verdana" w:hAnsi="Verdana" w:hint="default"/>
          <w:b w:val="1"/>
          <w:bCs w:val="1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i w:val="0"/>
          <w:iCs w:val="0"/>
          <w:sz w:val="18"/>
          <w:szCs w:val="18"/>
        </w:rPr>
      </w:pPr>
      <w:r>
        <w:rPr>
          <w:rFonts w:ascii="Verdana" w:hAnsi="Verdana"/>
          <w:i w:val="1"/>
          <w:iCs w:val="1"/>
          <w:sz w:val="18"/>
          <w:szCs w:val="18"/>
          <w:rtl w:val="0"/>
          <w:lang w:val="en-US"/>
        </w:rPr>
        <w:t>JACC-Heart Failure publication highlights high-quality cell expansion, good tolerability, manageable procedural risk and encouraging early signals of functional effects.</w:t>
      </w:r>
      <w:r>
        <w:rPr>
          <w:rFonts w:ascii="Verdana" w:hAnsi="Verdana" w:hint="default"/>
          <w:i w:val="1"/>
          <w:iCs w:val="1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Mulhouse, France, September 10, 2025</w:t>
      </w:r>
      <w:r>
        <w:rPr>
          <w:rFonts w:ascii="Verdana" w:hAnsi="Verdana" w:hint="default"/>
          <w:sz w:val="18"/>
          <w:szCs w:val="18"/>
          <w:rtl w:val="0"/>
        </w:rPr>
        <w:t xml:space="preserve"> – </w:t>
      </w:r>
      <w:r>
        <w:rPr>
          <w:rStyle w:val="Hyperlink.1"/>
          <w:rFonts w:ascii="Verdana" w:cs="Verdana" w:hAnsi="Verdana" w:eastAsia="Verdana"/>
          <w:sz w:val="18"/>
          <w:szCs w:val="18"/>
        </w:rPr>
        <w:fldChar w:fldCharType="begin" w:fldLock="0"/>
      </w:r>
      <w:r>
        <w:rPr>
          <w:rStyle w:val="Hyperlink.1"/>
          <w:rFonts w:ascii="Verdana" w:cs="Verdana" w:hAnsi="Verdana" w:eastAsia="Verdana"/>
          <w:sz w:val="18"/>
          <w:szCs w:val="18"/>
        </w:rPr>
        <w:instrText xml:space="preserve"> HYPERLINK "https://tracking.vuelio.co.uk/tracking/click?d=0QLiMNnVJBZN7gwguzMGMpNbnd1uqdfroQ2fCo40aOSU5-oEAey1Sq_QXSIWvKjKJvEGsg442ejOLxykp8Ha52NeyydF_5uPpqsslJqo_22aLjvnQKH14s_-aGt_QrfvEUXqdp9cv5_CKaDU4dhGLHU1"</w:instrText>
      </w:r>
      <w:r>
        <w:rPr>
          <w:rStyle w:val="Hyperlink.1"/>
          <w:rFonts w:ascii="Verdana" w:cs="Verdana" w:hAnsi="Verdana" w:eastAsia="Verdana"/>
          <w:sz w:val="18"/>
          <w:szCs w:val="18"/>
        </w:rPr>
        <w:fldChar w:fldCharType="separate" w:fldLock="0"/>
      </w:r>
      <w:r>
        <w:rPr>
          <w:rStyle w:val="Hyperlink.1"/>
          <w:rFonts w:ascii="Verdana" w:hAnsi="Verdana"/>
          <w:sz w:val="18"/>
          <w:szCs w:val="18"/>
          <w:rtl w:val="0"/>
          <w:lang w:val="en-US"/>
        </w:rPr>
        <w:t>CellProthera</w:t>
      </w:r>
      <w:r>
        <w:rPr>
          <w:rFonts w:ascii="Verdana" w:cs="Verdana" w:hAnsi="Verdana" w:eastAsia="Verdana"/>
          <w:sz w:val="18"/>
          <w:szCs w:val="18"/>
        </w:rPr>
        <w:fldChar w:fldCharType="end" w:fldLock="0"/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</w:rPr>
        <w:t xml:space="preserve"> </w:t>
      </w:r>
      <w:r>
        <w:rPr>
          <w:rFonts w:ascii="Verdana" w:hAnsi="Verdana"/>
          <w:sz w:val="18"/>
          <w:szCs w:val="18"/>
          <w:rtl w:val="0"/>
          <w:lang w:val="en-US"/>
        </w:rPr>
        <w:t xml:space="preserve">today announced that its open-label randomized controlled EXCELLENT Phase I/IIb trial results have been published in </w:t>
      </w:r>
      <w:r>
        <w:rPr>
          <w:rStyle w:val="None"/>
          <w:rFonts w:ascii="Verdana" w:hAnsi="Verdana"/>
          <w:i w:val="1"/>
          <w:iCs w:val="1"/>
          <w:sz w:val="18"/>
          <w:szCs w:val="18"/>
          <w:rtl w:val="0"/>
          <w:lang w:val="en-US"/>
        </w:rPr>
        <w:t>JACC: Heart Failure</w:t>
      </w:r>
      <w:r>
        <w:rPr>
          <w:rFonts w:ascii="Verdana" w:hAnsi="Verdana"/>
          <w:sz w:val="18"/>
          <w:szCs w:val="18"/>
          <w:rtl w:val="0"/>
          <w:lang w:val="en-US"/>
        </w:rPr>
        <w:t>, delivering the first peer-reviewed data on ProtheraCytes</w:t>
      </w:r>
      <w:r>
        <w:rPr>
          <w:rFonts w:ascii="Verdana" w:hAnsi="Verdana" w:hint="default"/>
          <w:sz w:val="18"/>
          <w:szCs w:val="18"/>
          <w:rtl w:val="0"/>
        </w:rPr>
        <w:t xml:space="preserve">® </w:t>
      </w:r>
      <w:r>
        <w:rPr>
          <w:rFonts w:ascii="Verdana" w:hAnsi="Verdana"/>
          <w:sz w:val="18"/>
          <w:szCs w:val="18"/>
          <w:rtl w:val="0"/>
          <w:lang w:val="en-US"/>
        </w:rPr>
        <w:t>in patients suffering from a large myocardial infarction (MI).</w:t>
      </w: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 xml:space="preserve">The study enrolled post-MI patients, with an average left ventricular ejection fraction of just 35%, a week after a severe heart attack with significant myocardial damage. Although the trial was not designed to prove efficacy, there were early trends of improvement in several surrogate markers of myocardial function, a good tolerability and a manageable procedural risk. Treated patients showed a 9% average reduction in left ventricular end-systolic volume index, a reduction by half of severely damaged heart tissue at six months and a seventy percent average drop in NT-proBNP levels at three months. </w:t>
      </w: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ProtheraCytes</w:t>
      </w:r>
      <w:r>
        <w:rPr>
          <w:rFonts w:ascii="Verdana" w:hAnsi="Verdana" w:hint="default"/>
          <w:sz w:val="18"/>
          <w:szCs w:val="18"/>
          <w:rtl w:val="0"/>
        </w:rPr>
        <w:t xml:space="preserve">® </w:t>
      </w:r>
      <w:r>
        <w:rPr>
          <w:rFonts w:ascii="Verdana" w:hAnsi="Verdana"/>
          <w:sz w:val="18"/>
          <w:szCs w:val="18"/>
          <w:rtl w:val="0"/>
          <w:lang w:val="en-US"/>
        </w:rPr>
        <w:t>were well tolerated. No patients experienced adverse drug reactions, and there were no deaths. Over six months, one of the 33 patients treated with ProtheraCytes</w:t>
      </w:r>
      <w:r>
        <w:rPr>
          <w:rFonts w:ascii="Verdana" w:hAnsi="Verdana" w:hint="default"/>
          <w:sz w:val="18"/>
          <w:szCs w:val="18"/>
          <w:rtl w:val="0"/>
        </w:rPr>
        <w:t xml:space="preserve">® </w:t>
      </w:r>
      <w:r>
        <w:rPr>
          <w:rFonts w:ascii="Verdana" w:hAnsi="Verdana"/>
          <w:sz w:val="18"/>
          <w:szCs w:val="18"/>
          <w:rtl w:val="0"/>
          <w:lang w:val="en-US"/>
        </w:rPr>
        <w:t>(3%) required a heart failure hospitalisation, and three of 16 patients (19%) in the standard-care group, one of whom went on to receive a heart transplant. There were nine procedure-related complications in the active group, but all recovered promptly. Future procedures will be done with improved imaging, planning, and operator training.</w:t>
      </w: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1"/>
          <w:lang w:val="ar-SA" w:bidi="ar-SA"/>
        </w:rPr>
        <w:t>“</w:t>
      </w:r>
      <w:r>
        <w:rPr>
          <w:rFonts w:ascii="Verdana" w:hAnsi="Verdana"/>
          <w:sz w:val="18"/>
          <w:szCs w:val="18"/>
          <w:rtl w:val="0"/>
          <w:lang w:val="en-US"/>
        </w:rPr>
        <w:t>The fact that several cardiac markers improved in the first six months in this population with severe MI encourages us to further investigate it in a larger study with longer follow-up and all the necessary safegu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720000</wp:posOffset>
            </wp:positionH>
            <wp:positionV relativeFrom="page">
              <wp:posOffset>435520</wp:posOffset>
            </wp:positionV>
            <wp:extent cx="1800001" cy="1080000"/>
            <wp:effectExtent l="0" t="0" r="0" b="0"/>
            <wp:wrapNone/>
            <wp:docPr id="1073741825" name="officeArt object" descr="IB COMMUNICATIUONS logo L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B COMMUNICATIUONS logo LR.jpg" descr="IB COMMUNICATIUONS logo L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1" cy="108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18"/>
          <w:szCs w:val="18"/>
          <w:rtl w:val="0"/>
          <w:lang w:val="en-US"/>
        </w:rPr>
        <w:t>ards in place to reduce the risk of procedural complications</w:t>
      </w:r>
      <w:r>
        <w:rPr>
          <w:rFonts w:ascii="Verdana" w:hAnsi="Verdana" w:hint="default"/>
          <w:sz w:val="18"/>
          <w:szCs w:val="18"/>
          <w:rtl w:val="0"/>
        </w:rPr>
        <w:t>”</w:t>
      </w:r>
      <w:r>
        <w:rPr>
          <w:rFonts w:ascii="Verdana" w:hAnsi="Verdana"/>
          <w:sz w:val="18"/>
          <w:szCs w:val="18"/>
          <w:rtl w:val="0"/>
          <w:lang w:val="en-US"/>
        </w:rPr>
        <w:t>, said Prof. J</w:t>
      </w:r>
      <w:r>
        <w:rPr>
          <w:rFonts w:ascii="Verdana" w:hAnsi="Verdana" w:hint="default"/>
          <w:sz w:val="18"/>
          <w:szCs w:val="18"/>
          <w:rtl w:val="0"/>
          <w:lang w:val="fr-FR"/>
        </w:rPr>
        <w:t>é</w:t>
      </w:r>
      <w:r>
        <w:rPr>
          <w:rFonts w:ascii="Verdana" w:hAnsi="Verdana"/>
          <w:sz w:val="18"/>
          <w:szCs w:val="18"/>
          <w:rtl w:val="0"/>
        </w:rPr>
        <w:t>r</w:t>
      </w:r>
      <w:r>
        <w:rPr>
          <w:rFonts w:ascii="Verdana" w:hAnsi="Verdana" w:hint="default"/>
          <w:sz w:val="18"/>
          <w:szCs w:val="18"/>
          <w:rtl w:val="0"/>
        </w:rPr>
        <w:t>ô</w:t>
      </w:r>
      <w:r>
        <w:rPr>
          <w:rFonts w:ascii="Verdana" w:hAnsi="Verdana"/>
          <w:sz w:val="18"/>
          <w:szCs w:val="18"/>
          <w:rtl w:val="0"/>
          <w:lang w:val="it-IT"/>
        </w:rPr>
        <w:t>me Roncalli.</w:t>
      </w: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In these high-risk patients, CellProthera</w:t>
      </w:r>
      <w:r>
        <w:rPr>
          <w:rFonts w:ascii="Verdana" w:hAnsi="Verdana" w:hint="default"/>
          <w:sz w:val="18"/>
          <w:szCs w:val="18"/>
          <w:rtl w:val="1"/>
        </w:rPr>
        <w:t>’</w:t>
      </w:r>
      <w:r>
        <w:rPr>
          <w:rFonts w:ascii="Verdana" w:hAnsi="Verdana"/>
          <w:sz w:val="18"/>
          <w:szCs w:val="18"/>
          <w:rtl w:val="0"/>
          <w:lang w:val="en-US"/>
        </w:rPr>
        <w:t>s automated expansion platform reliably produced patient</w:t>
      </w:r>
      <w:r>
        <w:rPr>
          <w:rFonts w:ascii="Verdana" w:hAnsi="Verdana" w:hint="default"/>
          <w:sz w:val="18"/>
          <w:szCs w:val="18"/>
          <w:rtl w:val="1"/>
        </w:rPr>
        <w:t>’</w:t>
      </w:r>
      <w:r>
        <w:rPr>
          <w:rFonts w:ascii="Verdana" w:hAnsi="Verdana"/>
          <w:sz w:val="18"/>
          <w:szCs w:val="18"/>
          <w:rtl w:val="0"/>
          <w:lang w:val="en-US"/>
        </w:rPr>
        <w:t>s own expanded CD34+ stem cells at clinical scale. On average, the ProtheraCytes had a purity over 90% and viability of almost 98%. They were delivered fresh to catheter labs in France and the UK within hours for timely administration.</w:t>
      </w: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1"/>
          <w:lang w:val="ar-SA" w:bidi="ar-SA"/>
        </w:rPr>
        <w:t>“</w:t>
      </w:r>
      <w:r>
        <w:rPr>
          <w:rFonts w:ascii="Verdana" w:hAnsi="Verdana"/>
          <w:sz w:val="18"/>
          <w:szCs w:val="18"/>
          <w:rtl w:val="0"/>
          <w:lang w:val="en-US"/>
        </w:rPr>
        <w:t>These results demonstrate that ProtheraCytes</w:t>
      </w:r>
      <w:r>
        <w:rPr>
          <w:rFonts w:ascii="Verdana" w:hAnsi="Verdana" w:hint="default"/>
          <w:sz w:val="18"/>
          <w:szCs w:val="18"/>
          <w:rtl w:val="0"/>
        </w:rPr>
        <w:t xml:space="preserve">® </w:t>
      </w:r>
      <w:r>
        <w:rPr>
          <w:rFonts w:ascii="Verdana" w:hAnsi="Verdana"/>
          <w:sz w:val="18"/>
          <w:szCs w:val="18"/>
          <w:rtl w:val="0"/>
          <w:lang w:val="en-US"/>
        </w:rPr>
        <w:t>can be manufactured and delivered to some of the most fragile post-MI patients while maintaining exceptional quality,</w:t>
      </w:r>
      <w:r>
        <w:rPr>
          <w:rFonts w:ascii="Verdana" w:hAnsi="Verdana" w:hint="default"/>
          <w:sz w:val="18"/>
          <w:szCs w:val="18"/>
          <w:rtl w:val="0"/>
        </w:rPr>
        <w:t xml:space="preserve">” </w:t>
      </w:r>
      <w:r>
        <w:rPr>
          <w:rFonts w:ascii="Verdana" w:hAnsi="Verdana"/>
          <w:sz w:val="18"/>
          <w:szCs w:val="18"/>
          <w:rtl w:val="0"/>
          <w:lang w:val="en-US"/>
        </w:rPr>
        <w:t xml:space="preserve">said Matthieu de Kalbermatten, CEO of CellProthera. </w:t>
      </w: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The EXCELLENT trial was a prospective, multicentre, open-label, randomised controlled study in France and the UK. Out of the 49 analysed patients, 33 participants were administered ProtheraCytes transendocardially on top of standard-of-care, and 16 participants received standard-of-care alone. It assessed the feasibility and safety of transendocardial injections of expanded autologous CD34+ cells in patients with a recent large MI. Building on these results, CellProthera is preparing larger trials to confirm long-term benefits and further evaluate safety in this high-risk population.</w:t>
      </w: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spacing w:after="266"/>
        <w:jc w:val="both"/>
      </w:pPr>
      <w:r>
        <w:rPr>
          <w:rStyle w:val="None"/>
          <w:rFonts w:ascii="Verdana" w:hAnsi="Verdana"/>
          <w:b w:val="1"/>
          <w:bCs w:val="1"/>
          <w:sz w:val="18"/>
          <w:szCs w:val="18"/>
          <w:rtl w:val="0"/>
          <w:lang w:val="en-US"/>
        </w:rPr>
        <w:t>About CellProthera</w:t>
      </w:r>
      <w:r>
        <w:rPr>
          <w:rStyle w:val="None"/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Fonts w:ascii="Verdana" w:cs="Verdana" w:hAnsi="Verdana" w:eastAsia="Verdana"/>
          <w:sz w:val="18"/>
          <w:szCs w:val="18"/>
        </w:rPr>
        <w:br w:type="textWrapping"/>
      </w:r>
      <w:r>
        <w:rPr>
          <w:rFonts w:ascii="Verdana" w:hAnsi="Verdana"/>
          <w:sz w:val="18"/>
          <w:szCs w:val="18"/>
          <w:rtl w:val="0"/>
          <w:lang w:val="en-US"/>
        </w:rPr>
        <w:t xml:space="preserve">CellProthera is a regenerative cell therapy developer specializing in ischemic diseases, with a leading program in myocardial infarction. CellProthera has developed a unique GMP-compliant cell manufacturing process as well as proprietary automation technology for </w:t>
      </w:r>
      <w:r>
        <w:rPr>
          <w:rStyle w:val="None"/>
          <w:rFonts w:ascii="Verdana" w:hAnsi="Verdana"/>
          <w:i w:val="1"/>
          <w:iCs w:val="1"/>
          <w:sz w:val="18"/>
          <w:szCs w:val="18"/>
          <w:rtl w:val="0"/>
          <w:lang w:val="it-IT"/>
        </w:rPr>
        <w:t>in vitro</w:t>
      </w:r>
      <w:r>
        <w:rPr>
          <w:rFonts w:ascii="Verdana" w:hAnsi="Verdana"/>
          <w:sz w:val="18"/>
          <w:szCs w:val="18"/>
          <w:rtl w:val="0"/>
          <w:lang w:val="en-US"/>
        </w:rPr>
        <w:t xml:space="preserve"> production of a large quantity of purified, expanded CD34+ cells. Its lead therapy ProtheraCytes</w:t>
      </w:r>
      <w:r>
        <w:rPr>
          <w:rFonts w:ascii="Verdana" w:hAnsi="Verdana" w:hint="default"/>
          <w:sz w:val="18"/>
          <w:szCs w:val="18"/>
          <w:rtl w:val="0"/>
        </w:rPr>
        <w:t>®</w:t>
      </w:r>
      <w:r>
        <w:rPr>
          <w:rFonts w:ascii="Verdana" w:hAnsi="Verdana"/>
          <w:sz w:val="18"/>
          <w:szCs w:val="18"/>
          <w:rtl w:val="0"/>
          <w:lang w:val="en-US"/>
        </w:rPr>
        <w:t xml:space="preserve">, is an autologous cell therapy targeted to regenerate various damaged tissues, including cardiac tissue. ProtheraCytes is registered as an Advanced Therapy Medicinal Product </w:t>
      </w:r>
      <w:r>
        <w:rPr>
          <w:rFonts w:ascii="Verdana" w:hAnsi="Verdana" w:hint="default"/>
          <w:sz w:val="18"/>
          <w:szCs w:val="18"/>
          <w:rtl w:val="0"/>
        </w:rPr>
        <w:t xml:space="preserve">– </w:t>
      </w:r>
      <w:r>
        <w:rPr>
          <w:rFonts w:ascii="Verdana" w:hAnsi="Verdana"/>
          <w:sz w:val="18"/>
          <w:szCs w:val="18"/>
          <w:rtl w:val="0"/>
          <w:lang w:val="fr-FR"/>
        </w:rPr>
        <w:t xml:space="preserve">ATMP </w:t>
      </w:r>
      <w:r>
        <w:rPr>
          <w:rFonts w:ascii="Verdana" w:hAnsi="Verdana" w:hint="default"/>
          <w:sz w:val="18"/>
          <w:szCs w:val="18"/>
          <w:rtl w:val="0"/>
        </w:rPr>
        <w:t xml:space="preserve">– </w:t>
      </w:r>
      <w:r>
        <w:rPr>
          <w:rFonts w:ascii="Verdana" w:hAnsi="Verdana"/>
          <w:sz w:val="18"/>
          <w:szCs w:val="18"/>
          <w:rtl w:val="0"/>
          <w:lang w:val="en-US"/>
        </w:rPr>
        <w:t>by the European Medicines Agency (EMA). CellProthera</w:t>
      </w:r>
      <w:r>
        <w:rPr>
          <w:rFonts w:ascii="Verdana" w:hAnsi="Verdana" w:hint="default"/>
          <w:sz w:val="18"/>
          <w:szCs w:val="18"/>
          <w:rtl w:val="1"/>
        </w:rPr>
        <w:t>’</w:t>
      </w:r>
      <w:r>
        <w:rPr>
          <w:rFonts w:ascii="Verdana" w:hAnsi="Verdana"/>
          <w:sz w:val="18"/>
          <w:szCs w:val="18"/>
          <w:rtl w:val="0"/>
          <w:lang w:val="en-US"/>
        </w:rPr>
        <w:t>s proprietary technology platform comprises an automated expansion device called StemXpand</w:t>
      </w:r>
      <w:r>
        <w:rPr>
          <w:rFonts w:ascii="Verdana" w:hAnsi="Verdana" w:hint="default"/>
          <w:sz w:val="18"/>
          <w:szCs w:val="18"/>
          <w:rtl w:val="0"/>
        </w:rPr>
        <w:t xml:space="preserve">® </w:t>
      </w:r>
      <w:r>
        <w:rPr>
          <w:rFonts w:ascii="Verdana" w:hAnsi="Verdana"/>
          <w:sz w:val="18"/>
          <w:szCs w:val="18"/>
          <w:rtl w:val="0"/>
          <w:lang w:val="en-US"/>
        </w:rPr>
        <w:t>and its single use kit StemPack</w:t>
      </w:r>
      <w:r>
        <w:rPr>
          <w:rFonts w:ascii="Verdana" w:hAnsi="Verdana" w:hint="default"/>
          <w:sz w:val="18"/>
          <w:szCs w:val="18"/>
          <w:rtl w:val="0"/>
        </w:rPr>
        <w:t>®</w:t>
      </w:r>
      <w:r>
        <w:rPr>
          <w:rFonts w:ascii="Verdana" w:hAnsi="Verdana"/>
          <w:sz w:val="18"/>
          <w:szCs w:val="18"/>
          <w:rtl w:val="0"/>
          <w:lang w:val="en-US"/>
        </w:rPr>
        <w:t>. CellProthera is headquartered in Mulhouse, France.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b w:val="1"/>
      <w:bCs w:val="1"/>
      <w:u w:color="0067d9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9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Verdana"/>
            <a:ea typeface="Verdana"/>
            <a:cs typeface="Verdana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