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le Style 2"/>
        <w:suppressAutoHyphens w:val="1"/>
        <w:jc w:val="right"/>
        <w:rPr>
          <w:rFonts w:ascii="Verdana" w:cs="Verdana" w:hAnsi="Verdana" w:eastAsia="Verdana"/>
          <w:b w:val="0"/>
          <w:bCs w:val="0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Press Release</w:t>
      </w:r>
    </w:p>
    <w:p>
      <w:pPr>
        <w:pStyle w:val="Table Style 2"/>
        <w:suppressAutoHyphens w:val="1"/>
        <w:jc w:val="right"/>
        <w:rPr>
          <w:rFonts w:ascii="Verdana" w:cs="Verdana" w:hAnsi="Verdana" w:eastAsia="Verdana"/>
          <w:b w:val="0"/>
          <w:bCs w:val="0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Media Contacts:</w:t>
      </w:r>
    </w:p>
    <w:p>
      <w:pPr>
        <w:pStyle w:val="Table Style 2"/>
        <w:suppressAutoHyphens w:val="1"/>
        <w:jc w:val="right"/>
        <w:rPr>
          <w:rFonts w:ascii="Verdana" w:cs="Verdana" w:hAnsi="Verdana" w:eastAsia="Verdana"/>
          <w:b w:val="0"/>
          <w:bCs w:val="0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fr-FR"/>
        </w:rPr>
        <w:t>IB Communications</w:t>
      </w:r>
    </w:p>
    <w:p>
      <w:pPr>
        <w:pStyle w:val="Table Style 2"/>
        <w:suppressAutoHyphens w:val="1"/>
        <w:jc w:val="right"/>
        <w:rPr>
          <w:rFonts w:ascii="Verdana" w:cs="Verdana" w:hAnsi="Verdana" w:eastAsia="Verdana"/>
          <w:sz w:val="18"/>
          <w:szCs w:val="18"/>
          <w:u w:val="none" w:color="0000ff"/>
        </w:rPr>
      </w:pPr>
      <w:r>
        <w:rPr>
          <w:rFonts w:ascii="Verdana" w:hAnsi="Verdana"/>
          <w:sz w:val="18"/>
          <w:szCs w:val="18"/>
          <w:u w:val="none" w:color="0000ff"/>
          <w:rtl w:val="0"/>
        </w:rPr>
        <w:t>Tel</w:t>
      </w:r>
      <w:r>
        <w:rPr>
          <w:rFonts w:ascii="Verdana" w:hAnsi="Verdana" w:hint="default"/>
          <w:sz w:val="18"/>
          <w:szCs w:val="18"/>
          <w:u w:val="none" w:color="0000ff"/>
          <w:rtl w:val="0"/>
        </w:rPr>
        <w:t> </w:t>
      </w: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instrText xml:space="preserve"> HYPERLINK "tel:+44%20(0)20%2089434685"</w:instrText>
      </w: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val="single" w:color="0000ff"/>
          <w:rtl w:val="0"/>
        </w:rPr>
        <w:t>+44 (0)20 89434685</w:t>
      </w:r>
      <w:r>
        <w:rPr>
          <w:rFonts w:ascii="Verdana" w:cs="Verdana" w:hAnsi="Verdana" w:eastAsia="Verdana"/>
          <w:sz w:val="18"/>
          <w:szCs w:val="18"/>
          <w:u w:val="single" w:color="0000ff"/>
        </w:rPr>
        <w:fldChar w:fldCharType="end" w:fldLock="0"/>
      </w:r>
    </w:p>
    <w:p>
      <w:pPr>
        <w:pStyle w:val="Table Style 2"/>
        <w:suppressAutoHyphens w:val="1"/>
        <w:jc w:val="right"/>
        <w:rPr>
          <w:rFonts w:ascii="Verdana" w:cs="Verdana" w:hAnsi="Verdana" w:eastAsia="Verdana"/>
          <w:sz w:val="18"/>
          <w:szCs w:val="18"/>
          <w:u w:val="none" w:color="0000ff"/>
        </w:rPr>
      </w:pP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fldChar w:fldCharType="begin" w:fldLock="0"/>
      </w: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instrText xml:space="preserve"> HYPERLINK "mailto:reithera@ibcomms.agency"</w:instrText>
      </w:r>
      <w:r>
        <w:rPr>
          <w:rStyle w:val="Hyperlink.0"/>
          <w:rFonts w:ascii="Verdana" w:cs="Verdana" w:hAnsi="Verdana" w:eastAsia="Verdana"/>
          <w:sz w:val="18"/>
          <w:szCs w:val="18"/>
          <w:u w:val="single" w:color="0000ff"/>
        </w:rPr>
        <w:fldChar w:fldCharType="separate" w:fldLock="0"/>
      </w:r>
      <w:r>
        <w:rPr>
          <w:rStyle w:val="Hyperlink.0"/>
          <w:rFonts w:ascii="Verdana" w:hAnsi="Verdana"/>
          <w:sz w:val="18"/>
          <w:szCs w:val="18"/>
          <w:u w:val="single" w:color="0000ff"/>
          <w:rtl w:val="0"/>
          <w:lang w:val="en-US"/>
        </w:rPr>
        <w:t>reithera@ibcomms.agency</w:t>
      </w:r>
      <w:r>
        <w:rPr>
          <w:rFonts w:ascii="Verdana" w:cs="Verdana" w:hAnsi="Verdana" w:eastAsia="Verdana"/>
          <w:sz w:val="18"/>
          <w:szCs w:val="18"/>
          <w:u w:val="single" w:color="0000ff"/>
        </w:rPr>
        <w:fldChar w:fldCharType="end" w:fldLock="0"/>
      </w:r>
    </w:p>
    <w:p>
      <w:pPr>
        <w:pStyle w:val="Table Style 2"/>
        <w:suppressAutoHyphens w:val="1"/>
        <w:jc w:val="right"/>
        <w:rPr>
          <w:rFonts w:ascii="Verdana" w:cs="Verdana" w:hAnsi="Verdana" w:eastAsia="Verdana"/>
          <w:sz w:val="18"/>
          <w:szCs w:val="18"/>
          <w:u w:val="none" w:color="0000ff"/>
        </w:rPr>
      </w:pPr>
    </w:p>
    <w:p>
      <w:pPr>
        <w:pStyle w:val="Table Style 2"/>
        <w:suppressAutoHyphens w:val="1"/>
        <w:jc w:val="right"/>
        <w:rPr>
          <w:rFonts w:ascii="Verdana" w:cs="Verdana" w:hAnsi="Verdana" w:eastAsia="Verdana"/>
          <w:sz w:val="18"/>
          <w:szCs w:val="18"/>
          <w:u w:val="none" w:color="0000ff"/>
        </w:rPr>
      </w:pPr>
    </w:p>
    <w:p>
      <w:pPr>
        <w:pStyle w:val="Table Style 2"/>
        <w:suppressAutoHyphens w:val="1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b w:val="0"/>
          <w:bCs w:val="0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ReiThera to Unveil ReiCell-AAV Platform for High-Efficiency Gene Therapy AAV Production, Adding to MVA and GRAd Vector Capabilities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numPr>
          <w:ilvl w:val="0"/>
          <w:numId w:val="2"/>
        </w:numPr>
        <w:suppressAutoHyphens w:val="1"/>
        <w:jc w:val="left"/>
        <w:rPr>
          <w:rFonts w:ascii="Verdana" w:hAnsi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First look at ReiCell-AAV next week at Advanced Therapies London, Booth 94</w:t>
      </w:r>
    </w:p>
    <w:p>
      <w:pPr>
        <w:pStyle w:val="Table Style 2"/>
        <w:numPr>
          <w:ilvl w:val="0"/>
          <w:numId w:val="2"/>
        </w:numPr>
        <w:suppressAutoHyphens w:val="1"/>
        <w:jc w:val="left"/>
        <w:rPr>
          <w:rFonts w:ascii="Verdana" w:hAnsi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With three cutting-edge platforms for gene therapy and genetic vaccine production, ReiThera remains unique among CDMOs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Rome, Italy 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–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March 12 2025 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 xml:space="preserve">– </w:t>
      </w:r>
      <w:r>
        <w:rPr>
          <w:rStyle w:val="Hyperlink.1"/>
          <w:rFonts w:ascii="Verdana" w:cs="Verdana" w:hAnsi="Verdana" w:eastAsia="Verdana"/>
          <w:sz w:val="18"/>
          <w:szCs w:val="18"/>
        </w:rPr>
        <w:fldChar w:fldCharType="begin" w:fldLock="0"/>
      </w:r>
      <w:r>
        <w:rPr>
          <w:rStyle w:val="Hyperlink.1"/>
          <w:rFonts w:ascii="Verdana" w:cs="Verdana" w:hAnsi="Verdana" w:eastAsia="Verdana"/>
          <w:sz w:val="18"/>
          <w:szCs w:val="18"/>
        </w:rPr>
        <w:instrText xml:space="preserve"> HYPERLINK "https://tracking.vuelio.co.uk/tracking/click?d=S5sWEAZtwG7P8xUQY2tg5FsSPAZBtFbk3-uYcip8QcRwJ-59HPeUHJdUaGJ3fc3sQmvq8B7IwUmV54Awv81c5YwvpobUVJoGRZQowq05h2vld1ixmDgb5JpH38SNmuykUw2"</w:instrText>
      </w:r>
      <w:r>
        <w:rPr>
          <w:rStyle w:val="Hyperlink.1"/>
          <w:rFonts w:ascii="Verdana" w:cs="Verdana" w:hAnsi="Verdana" w:eastAsia="Verdana"/>
          <w:sz w:val="18"/>
          <w:szCs w:val="18"/>
        </w:rPr>
        <w:fldChar w:fldCharType="separate" w:fldLock="0"/>
      </w:r>
      <w:r>
        <w:rPr>
          <w:rStyle w:val="Hyperlink.1"/>
          <w:rFonts w:ascii="Verdana" w:hAnsi="Verdana"/>
          <w:sz w:val="18"/>
          <w:szCs w:val="18"/>
          <w:rtl w:val="0"/>
          <w:lang w:val="en-US"/>
        </w:rPr>
        <w:t>ReiThera</w:t>
      </w:r>
      <w:r>
        <w:rPr>
          <w:rFonts w:ascii="Verdana" w:cs="Verdana" w:hAnsi="Verdana" w:eastAsia="Verdana"/>
          <w:sz w:val="18"/>
          <w:szCs w:val="18"/>
        </w:rPr>
        <w:fldChar w:fldCharType="end" w:fldLock="0"/>
      </w:r>
      <w:r>
        <w:rPr>
          <w:rFonts w:ascii="Verdana" w:hAnsi="Verdana"/>
          <w:sz w:val="18"/>
          <w:szCs w:val="18"/>
          <w:rtl w:val="0"/>
          <w:lang w:val="en-US"/>
        </w:rPr>
        <w:t>, a global Contract Development and Manufacturing Organization (CDMO), is highlighting its latest vector platform, ReiCell-AAV, alongside the rest of its comprehensive portfolio at Advanced Therapies 2025 in London. ReiCell-AAV enables scalable production of AAVs, the most common vector used in commercial gene therapies. With three innovative platforms to advance viral vector-based therapies, ReiThera is building on its impressive track record in developing and manufacturing genetic vaccines and gene therapies to meet the evolving needs of the biopharmaceutical industry.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ReiThera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ReiCell-AAV platform offers a clonal HEK-293 cell line optimized for scalable AAV vector production. Derived from a well-characterized lineage, ReiCell-AAV enables high-density suspension culture in chemically defined media, ensuring enhanced yield, safety, and regulatory compliance. Tailored for large-scale bioreactor-based production, this platform provides a seamless transition from research to clinical-grade manufacturing, supporting the growing demand for AAV-based gene therapies.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ReiCell-AAV joins two other cutting-edge platforms with impressive clinical records:</w:t>
      </w:r>
    </w:p>
    <w:p>
      <w:pPr>
        <w:pStyle w:val="Table Style 2"/>
        <w:numPr>
          <w:ilvl w:val="0"/>
          <w:numId w:val="3"/>
        </w:numPr>
        <w:suppressAutoHyphens w:val="1"/>
        <w:jc w:val="lef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>ReiThera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</w:rPr>
        <w:t xml:space="preserve">s </w:t>
      </w:r>
      <w:r>
        <w:rPr>
          <w:rStyle w:val="None"/>
          <w:rFonts w:ascii="Verdana" w:hAnsi="Verdana"/>
          <w:b w:val="1"/>
          <w:bCs w:val="1"/>
          <w:sz w:val="18"/>
          <w:szCs w:val="18"/>
          <w:rtl w:val="0"/>
          <w:lang w:val="it-IT"/>
        </w:rPr>
        <w:t>MVA (Modified Vaccinia Ankara) platform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 provides a robust, validated, and industry-proven technology for genetic vaccine production. With extensive expertise in MVA vector engineering and large-scale GMP manufacturing, ReiThera ensures a reliable and regulatory-compliant approach to developing vaccines for infectious diseases, immuno-oncology, and personalized therapies. Its fully validated manufacturing methodology, featuring both stirred-tank and fixed-bed bioreactors, guarantees seamless scalability from small to large production batches while maintaining the highe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435520</wp:posOffset>
            </wp:positionV>
            <wp:extent cx="1800001" cy="1080000"/>
            <wp:effectExtent l="0" t="0" r="0" b="0"/>
            <wp:wrapNone/>
            <wp:docPr id="1073741825" name="officeArt object" descr="IB COMMUNICATIUONS logo 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B COMMUNICATIUONS logo LR.jpg" descr="IB COMMUNICATIUONS logo L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0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  <w:rtl w:val="0"/>
          <w:lang w:val="en-US"/>
        </w:rPr>
        <w:t>st quality and consistency standards.</w:t>
      </w:r>
      <w:r>
        <w:rPr>
          <w:rFonts w:ascii="Verdana" w:cs="Verdana" w:hAnsi="Verdana" w:eastAsia="Verdana"/>
          <w:sz w:val="18"/>
          <w:szCs w:val="18"/>
        </w:rPr>
        <w:br w:type="textWrapping"/>
      </w:r>
      <w:r>
        <w:rPr>
          <w:rFonts w:ascii="Verdana" w:hAnsi="Verdana"/>
          <w:sz w:val="18"/>
          <w:szCs w:val="18"/>
          <w:rtl w:val="0"/>
          <w:lang w:val="en-US"/>
        </w:rPr>
        <w:t>The MVA platform has been validated in multiple clinical trials.</w:t>
      </w:r>
      <w:r>
        <w:rPr>
          <w:rStyle w:val="None"/>
          <w:rFonts w:ascii="Verdana" w:hAnsi="Verdana" w:hint="default"/>
          <w:b w:val="1"/>
          <w:bCs w:val="1"/>
          <w:sz w:val="18"/>
          <w:szCs w:val="18"/>
          <w:rtl w:val="0"/>
        </w:rPr>
        <w:t> </w:t>
      </w:r>
    </w:p>
    <w:p>
      <w:pPr>
        <w:pStyle w:val="Table Style 2"/>
        <w:numPr>
          <w:ilvl w:val="0"/>
          <w:numId w:val="3"/>
        </w:numPr>
        <w:suppressAutoHyphens w:val="1"/>
        <w:jc w:val="lef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>At the forefront of genetic vaccine development, ReiThera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</w:rPr>
        <w:t xml:space="preserve">s </w:t>
      </w:r>
      <w:r>
        <w:rPr>
          <w:rStyle w:val="None"/>
          <w:rFonts w:ascii="Verdana" w:hAnsi="Verdana"/>
          <w:b w:val="1"/>
          <w:bCs w:val="1"/>
          <w:sz w:val="18"/>
          <w:szCs w:val="18"/>
          <w:rtl w:val="0"/>
          <w:lang w:val="en-US"/>
        </w:rPr>
        <w:t>GRAd platform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 leverages a proprietary gorilla adenovirus vector with low seroprevalence in humans, making it an ideal candidate for strong and sustained immune responses in particular for CD8 T-Cell based immunity. The GRAd platform has demonstrated thermostability, high immunogenicity, and efficient scalability up to 2000L scale, making it a powerful choice for next-generation vaccines. With an established GMP manufacturing process and validated quality control measures, ReiThera provides a reliable and scalable solution for vaccine developers worldwide.</w:t>
      </w:r>
      <w:r>
        <w:rPr>
          <w:rFonts w:ascii="Verdana" w:cs="Verdana" w:hAnsi="Verdana" w:eastAsia="Verdana"/>
          <w:sz w:val="18"/>
          <w:szCs w:val="18"/>
        </w:rPr>
        <w:br w:type="textWrapping"/>
        <w:br w:type="textWrapping"/>
      </w:r>
      <w:r>
        <w:rPr>
          <w:rFonts w:ascii="Verdana" w:hAnsi="Verdana"/>
          <w:sz w:val="18"/>
          <w:szCs w:val="18"/>
          <w:rtl w:val="0"/>
          <w:lang w:val="en-US"/>
        </w:rPr>
        <w:t>A GRAd-based vaccine against SARS-CoV2 has been found safe and effective through multiple clinical trials, and a new clinical trial funded by Bill &amp; Melinda Gates Foundation recently launched to test a GRAd-based vaccine for HIV.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ReiThera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expertise in viral vector production has positioned the company as a trusted partner for biotech and pharmaceutical companies worldwide. From early-stage process development to GMP manufacturing and regulatory support, ReiThera offers end-to-end solutions to accelerate the development of genetic vaccines and gene therapies.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"With our ReiCell-AAV, MVA, and GRAd platforms, ReiThera continues to lead innovation in viral vector manufacturing," said Claudio Panzarella, Head of Business Development at ReiThera. "We are committed to providing high-quality, scalable, and regulatory-compliant solutions that empower our partners in the fight against infectious diseases and genetic disorders. Our platforms are not only technologically advanced but also designed to offer cost-effective solutions for our clients. All our platforms are available for new collaborations, and we look forward to presenting them to interested partners at Advanced Therapies London, at Booth 94!</w:t>
      </w:r>
      <w:r>
        <w:rPr>
          <w:rFonts w:ascii="Verdana" w:hAnsi="Verdana" w:hint="default"/>
          <w:sz w:val="18"/>
          <w:szCs w:val="18"/>
          <w:rtl w:val="0"/>
        </w:rPr>
        <w:t>”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Style w:val="None"/>
          <w:rFonts w:ascii="Verdana" w:cs="Verdana" w:hAnsi="Verdana" w:eastAsia="Verdana"/>
          <w:b w:val="0"/>
          <w:bCs w:val="0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About ReiThera SRL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ReiThera Srl is a CDMO dedicated to technology and process development and GMP manufacturing, providing support for the clinical translation of genetic vaccines and medicinal products for advanced therapies.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The company has extensive expertise in developing scalable processes for viral-vector manufacturing and a consolidated experience in GMP production of Adeno-Associated Vector (AAV), Lentivirus, Adeno Viral vector (AdV), Modified Vaccinia Ankara (MVA) and Herpes Simplex Vector.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ReiThera's core manufacturing capacity is based in a state-of-the-art facility, which includes stirred-tank bioreactors at scales of 50L, 200L, 1000L, and 2000L, as well as fixed-bed bioreactors for cell growth in adherence. The GMP facility also comprises a filling suite and quality control laboratories.</w:t>
      </w:r>
    </w:p>
    <w:p>
      <w:pPr>
        <w:pStyle w:val="Table Style 2"/>
        <w:suppressAutoHyphens w:val="1"/>
        <w:jc w:val="lef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</w:rPr>
        <w:t> </w:t>
      </w:r>
    </w:p>
    <w:p>
      <w:pPr>
        <w:pStyle w:val="Table Style 2"/>
        <w:suppressAutoHyphens w:val="1"/>
        <w:jc w:val="left"/>
      </w:pPr>
      <w:r>
        <w:rPr>
          <w:rFonts w:ascii="Verdana" w:hAnsi="Verdana"/>
          <w:sz w:val="18"/>
          <w:szCs w:val="18"/>
          <w:rtl w:val="0"/>
          <w:lang w:val="en-US"/>
        </w:rPr>
        <w:t xml:space="preserve">ReiThera's headquarters, R&amp;D laboratories, and GMP facilities are located in Rome, Italy. For more information, visit </w:t>
      </w:r>
      <w:r>
        <w:rPr>
          <w:rStyle w:val="Hyperlink.2"/>
          <w:rFonts w:ascii="Verdana" w:cs="Verdana" w:hAnsi="Verdana" w:eastAsia="Verdana"/>
          <w:sz w:val="18"/>
          <w:szCs w:val="18"/>
        </w:rPr>
        <w:fldChar w:fldCharType="begin" w:fldLock="0"/>
      </w:r>
      <w:r>
        <w:rPr>
          <w:rStyle w:val="Hyperlink.2"/>
          <w:rFonts w:ascii="Verdana" w:cs="Verdana" w:hAnsi="Verdana" w:eastAsia="Verdana"/>
          <w:sz w:val="18"/>
          <w:szCs w:val="18"/>
        </w:rPr>
        <w:instrText xml:space="preserve"> HYPERLINK "https://tracking.vuelio.co.uk/tracking/click?d=S5sWEAZtwG7P8xUQY2tg5FsSPAZBtFbk3-uYcip8QcSVhshiJniS5QWe0IjoKsYxtAf5u0e18CRXOai-HDOpR802kXHcgClwj8sEkgLDFliM0pCk4f5k-vKhJ6z1AVwVktLE-Qtldy6pvotfMWEBYEg1"</w:instrText>
      </w:r>
      <w:r>
        <w:rPr>
          <w:rStyle w:val="Hyperlink.2"/>
          <w:rFonts w:ascii="Verdana" w:cs="Verdana" w:hAnsi="Verdana" w:eastAsia="Verdana"/>
          <w:sz w:val="18"/>
          <w:szCs w:val="18"/>
        </w:rPr>
        <w:fldChar w:fldCharType="separate" w:fldLock="0"/>
      </w:r>
      <w:r>
        <w:rPr>
          <w:rStyle w:val="Hyperlink.2"/>
          <w:rFonts w:ascii="Verdana" w:hAnsi="Verdana"/>
          <w:sz w:val="18"/>
          <w:szCs w:val="18"/>
          <w:rtl w:val="0"/>
          <w:lang w:val="en-US"/>
        </w:rPr>
        <w:t>www.reithera.com</w:t>
      </w:r>
      <w:r>
        <w:rPr>
          <w:rFonts w:ascii="Verdana" w:cs="Verdana" w:hAnsi="Verdana" w:eastAsia="Verdana"/>
          <w:sz w:val="18"/>
          <w:szCs w:val="18"/>
        </w:rPr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4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6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8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0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2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4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6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87" w:hanging="3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4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6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18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0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2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4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6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87" w:hanging="3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1">
    <w:name w:val="Hyperlink.1"/>
    <w:basedOn w:val="None"/>
    <w:next w:val="Hyperlink.1"/>
    <w:rPr>
      <w:b w:val="1"/>
      <w:bCs w:val="1"/>
      <w:u w:val="single" w:color="0067d9"/>
    </w:rPr>
  </w:style>
  <w:style w:type="character" w:styleId="Hyperlink.2">
    <w:name w:val="Hyperlink.2"/>
    <w:basedOn w:val="None"/>
    <w:next w:val="Hyperlink.2"/>
    <w:rPr>
      <w:u w:val="single" w:color="0067d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9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