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Fonts w:ascii="Verdana" w:hAnsi="Verdana"/>
          <w:outline w:val="0"/>
          <w:color w:val="282828"/>
          <w:sz w:val="18"/>
          <w:szCs w:val="18"/>
          <w:u w:color="0067d9"/>
          <w:shd w:val="clear" w:color="auto" w:fill="ffffff"/>
          <w:rtl w:val="0"/>
          <w14:textFill>
            <w14:solidFill>
              <w14:srgbClr w14:val="292929"/>
            </w14:solidFill>
          </w14:textFill>
        </w:rPr>
        <w:t>Tel</w:t>
      </w:r>
      <w:r>
        <w:rPr>
          <w:rFonts w:ascii="Verdana" w:hAnsi="Verdana" w:hint="default"/>
          <w:outline w:val="0"/>
          <w:color w:val="282828"/>
          <w:sz w:val="18"/>
          <w:szCs w:val="18"/>
          <w:u w:color="0067d9"/>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orgenesis@ibcomms.agency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Orgenesis provides business update for the first quarter of 2023 and reports continued progress on its POCare strategy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Germantown, Md. US, May 10,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G39lrK0X4AHKU6itUT5c-2FjwcgJiAVjL-2FjvFRoq42sFoJlYV_0v1WfzW3RyCyUmxOPcTd72nhp2tUCWdxq-2BDfwFXst-2F2aCPEFEoG1XfVfIkfPiSy0mEjkyHBzVnFoAkbS-2F5layAmhp-2Bb6gomhVr1iXAIqBGvQU3H3NZmtn1KyF0EtZVgIZ8BIABD-2Fyl8ZCw2A82DJwb2H6H-2FkLFZV4Zwq8odtYMRFCYnYFMiG6g9bovigO8J9OLYXLwaqF2GR5CA4olt6qky6yqzl1i8W4rX2oaYo7KMwdX1vYY7QiI23p9mkAv8gh3RXBFNlFpUrpSIEecAvoA1R4qphje4oQ-2Ba9pZORjvQSHmPPe8gJ-2FTE7LEy952o4KwsWzfnM9zm64TQbXG17FCEmREb5DwjeLWLQ-2B3iAnZaD1q6pLe4Mb2uXvEN-2BWg-2Bsg39jCa6kCBxgpck5vbwjV1Y8-2FtdebG7kWLKcHE9jeSEwsUg4iFxiDYu5gvezPKjrO07wIk1LFKI670mfX6qjY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Orgenesis Inc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G39lrK0X4AHKU6itUT5c-2FjwcgJiAVjL-2FjvFRoq42sFoUW_P_0v1WfzW3RyCyUmxOPcTd72nhp2tUCWdxq-2BDfwFXst-2F2aCPEFEoG1XfVfIkfPiSy0mEjkyHBzVnFoAkbS-2F5layAmhp-2Bb6gomhVr1iXAIqBGvQU3H3NZmtn1KyF0EtZVgIZ8BIABD-2Fyl8ZCw2A82DJwb2H6H-2FkLFZV4Zwq8odtYMRFCYnYFMiG6g9bovigO8J9OLYXLwaqF2GR5CA4olt6qky6yqzl1i8W4rX2oaYo7KMwdX1vYY7QiI23p9mkAv8gh3RXBFNlFpUrpSIEecAvoHKegnTlrex4rHGJ9dADx2XIqkZQbtNSZrikyjo1Q6CKrLwnEeb57-2BN9ifh9c3aRgbipKJHZ-2BGIjuDsn0dj7-2FYM0ZaegD-2BygWPzXtIoNSzp3mWhGL-2FEsIyM6m38OJHev2rEReLqcloOnSvlvTGI2BoCTp9-2BGrfNEYjSA791t-2Bc8dVR6Heq0KVztUz3rRAh78Rg-3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2"/>
          <w:rFonts w:ascii="Verdana" w:hAnsi="Verdana"/>
          <w:outline w:val="0"/>
          <w:color w:val="282828"/>
          <w:sz w:val="18"/>
          <w:szCs w:val="18"/>
          <w:rtl w:val="0"/>
          <w14:textFill>
            <w14:solidFill>
              <w14:srgbClr w14:val="292929"/>
            </w14:solidFill>
          </w14:textFill>
        </w:rPr>
        <w:t xml:space="preserve"> (NASDAQ: ORGS)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Orgenesis</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or the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Company</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a global biotech company working to unlock the full potential of cell and gene therapies (CGT), today provided a business update for the first quarter ended March 31,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Vered Caplan, CEO of Orgenesis, said,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We achieved revenue of approximately USD 7.0 million for the first quarter of 2023, which reflects the continued progress of our POCare strategy.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We are currently focused on the implementation of our quality systems, as well as our GMP processes at the various POCare sites. We are also expanding our international management team with the support of Metalmark, our long-term partner and investor in our Morgenesis subsidiary.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We are working closely with international suppliers to standardize production in our POCare platform to ensure we can provide the same products and level of quality at each of our sites, including optimizing the utilization of our existing capacity and the use of the OMPULs.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We are training additional teams around the world, and have successfully implemented a certified academic program to support additional recruitment and are performing multiple tech transfers to additional sites for production-stage products supplied at existing sites. Importantly, we are expanding our business development efforts to engage global technology providers in our efforts to provide the industry with a robust standardized platform for the development and production of cell and gene therapies.</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Ms. Caplan continued,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In addition to our POCare Services platform, we are advancing our therapeutic pipeline, leveraging government grants and funding from regional partners as well as focusing on finding the optimal licensing and marketing partners for some of the more advanced product candidates in our pipeline. We believe that some of our assets have matured to a stage where the company would benefit from strategic partnerships which may further utilize our POCare platform.</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complete financial results for the first quarter of 2023 are available on the Company</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s</w:t>
      </w:r>
      <w:r>
        <w:rPr>
          <w:rStyle w:val="Hyperlink.0"/>
          <w:rFonts w:ascii="Verdana" w:hAnsi="Verdana" w:hint="default"/>
          <w:outline w:val="0"/>
          <w:color w:val="282828"/>
          <w:sz w:val="18"/>
          <w:szCs w:val="18"/>
          <w:rtl w:val="0"/>
          <w14:textFill>
            <w14:solidFill>
              <w14:srgbClr w14:val="292929"/>
            </w14:solidFill>
          </w14:textFill>
        </w:rPr>
        <w:t> </w:t>
      </w:r>
      <w:r>
        <w:rPr>
          <w:rStyle w:val="Hyperlink.3"/>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dFqUEgQsKgcJtA0IQQ9JCObshOXCDHr6uI4EOFs9213NbXRqwusW7ZWtfXJZ23qrLYNRLTSJIirsKWF3vMCCOJS-2B-2FoOgoEWVt1eOQ9fW4Qg5Ith0TSKSM58yt2xP9nnlbHcUO3UL-2BexTPlMnMoZFIcV5wnFikAzEKlEhW4hrHDqLSh18LsCP8wcJdwgetY7M-3DyndN_0v1WfzW3RyCyUmxOPcTd72nhp2tUCWdxq-2BDfwFXst-2F2aCPEFEoG1XfVfIkfPiSy0mEjkyHBzVnFoAkbS-2F5layAmhp-2Bb6gomhVr1iXAIqBGvQU3H3NZmtn1KyF0EtZVgIZ8BIABD-2Fyl8ZCw2A82DJwb2H6H-2FkLFZV4Zwq8odtYMRFCYnYFMiG6g9bovigO8J9OLYXLwaqF2GR5CA4olt6qky6yqzl1i8W4rX2oaYo7KMwdX1vYY7QiI23p9mkAv8gh3RXBFNlFpUrpSIEecAvoKC43BW9bvq4XZ8aYpjoV68aptQuPbdZLhEZFoh8-2BuaUgW-2BzCgqC-2FGSx95Y-2B7FFZvR9hs-2FRzQoLna65U-2FcOrO78Wq5j2ORqOVH5GwTiPnGwqyZL2kshKebwbCg-2BCLv-2FaH4mC2D-2FLrJD3jdIXPklrej4K-2FUU9Jp9ulVhM3DmGCmb4SOPGdjcVtAXmRrO70iQ0ww-3D-3D"</w:instrText>
      </w:r>
      <w:r>
        <w:rPr>
          <w:rStyle w:val="Hyperlink.3"/>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3"/>
          <w:rFonts w:ascii="Verdana" w:hAnsi="Verdana"/>
          <w:outline w:val="0"/>
          <w:color w:val="282828"/>
          <w:sz w:val="18"/>
          <w:szCs w:val="18"/>
          <w:rtl w:val="0"/>
          <w:lang w:val="nl-NL"/>
          <w14:textFill>
            <w14:solidFill>
              <w14:srgbClr w14:val="292929"/>
            </w14:solidFill>
          </w14:textFill>
        </w:rPr>
        <w:t>website</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in the Company</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Form 10-Q, which has been filed with the Securities and Exch</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ange Commission.</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w:t>
      </w:r>
      <w:r>
        <w:rPr>
          <w:rStyle w:val="Hyperlink.0"/>
          <w:rFonts w:ascii="Verdana" w:hAnsi="Verdana" w:hint="default"/>
          <w:outline w:val="0"/>
          <w:color w:val="282828"/>
          <w:sz w:val="18"/>
          <w:szCs w:val="18"/>
          <w:rtl w:val="0"/>
          <w14:textFill>
            <w14:solidFill>
              <w14:srgbClr w14:val="292929"/>
            </w14:solidFill>
          </w14:textFill>
        </w:rPr>
        <w:t> </w:t>
      </w:r>
      <w:r>
        <w:rPr>
          <w:rStyle w:val="Hyperlink.3"/>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dFqUEgQsKgcJtA0IQQ9JC9k87oqrcJVcY1isT6yP-2BFSGfKdPqmRgUdHdZA5Bukos6eCQ1poCo-2F80k-2FtEVMyJZj6FU9Q-2FM7tTW4GoP-2FkW1x7FdF90HrtFLs-2B-2BXFc8eMWMjslrGz-2Fhe6NRNl0hDsOjYmEZB_0v1WfzW3RyCyUmxOPcTd72nhp2tUCWdxq-2BDfwFXst-2F2aCPEFEoG1XfVfIkfPiSy0mEjkyHBzVnFoAkbS-2F5layAmhp-2Bb6gomhVr1iXAIqBGvQU3H3NZmtn1KyF0EtZVgIZ8BIABD-2Fyl8ZCw2A82DJwb2H6H-2FkLFZV4Zwq8odtYMRFCYnYFMiG6g9bovigO8J9OLYXLwaqF2GR5CA4olt6qky6yqzl1i8W4rX2oaYo7KMwdX1vYY7QiI23p9mkAv8gh3RXBFNlFpUrpSIEecAvoLlA26Yp4-2B71M7zj3cPonwMwBIeyBm62BGWwMj2HcZh9B7Py5lJxvKpeW3YbOT6Wm1KHnm6qHFQzP19WqQk1l8WQQJw3n68O36e6zN0yD1UUajdJcAo8Y7z5wgb8QsRZO-2BGqHyfSZZjvjSqOIwkoXqTLW2f9leyDu-2FCHOE8LRfuCO8alyRZmQuAz8wqvK31q-2Fw-3D-3D"</w:instrText>
      </w:r>
      <w:r>
        <w:rPr>
          <w:rStyle w:val="Hyperlink.3"/>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3"/>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Style w:val="Hyperlink.0"/>
          <w:rFonts w:ascii="Verdana" w:hAnsi="Verdana"/>
          <w:i w:val="1"/>
          <w:iCs w:val="1"/>
          <w:outline w:val="0"/>
          <w:color w:val="282828"/>
          <w:sz w:val="18"/>
          <w:szCs w:val="18"/>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and OMPUL business, our ability to achieve and maintain overall profitability,</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ability to</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manage our research and development programs that are based on novel</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de-DE"/>
          <w14:textFill>
            <w14:solidFill>
              <w14:srgbClr w14:val="292929"/>
            </w14:solidFill>
          </w14:textFill>
        </w:rPr>
        <w:t>technologies,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ability to</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control key elements relating to</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the</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development and commercialization of therapeutic product candidates with third parties,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the</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timing of completion of clinical trials and studies, the availability of additional data, outcomes of clinical trials of our product candidates, the potential uses and benefits of our product candidates,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ability to</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manage potential disruptions as a result of the COVID-19 pandemic,</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the sufficiency of working capital to realize our business plans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14:textFill>
            <w14:solidFill>
              <w14:srgbClr w14:val="292929"/>
            </w14:solidFill>
          </w14:textFill>
        </w:rPr>
        <w:t>and</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ability to</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raise additional capital, the development of</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fr-FR"/>
          <w14:textFill>
            <w14:solidFill>
              <w14:srgbClr w14:val="292929"/>
            </w14:solidFill>
          </w14:textFill>
        </w:rPr>
        <w:t>our</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POCare strategy, our trans differentiation</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14:textFill>
            <w14:solidFill>
              <w14:srgbClr w14:val="292929"/>
            </w14:solidFill>
          </w14:textFill>
        </w:rPr>
        <w:t>technology</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as therapeutic treatment for diabetes, the technology behind our in-licensed ATMPs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not functioning as expected, our ability to further our CGT development projects, either directly or through our JV partner agreements, and to fulfill our obligations under such agreements, our license agreements with other institutions,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ability to retain key employees,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our competitors developing better or cheaper alternatives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to our products, risks relating to legal proceedings against us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and the risks and uncertainties discussed under the heading "RISK FACTORS" in Item 1A of our Annual Report on Form 10-K for the fiscal year ended December 31,</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2022, and in our other filings with the Securities and Exchange Commission. We undertake no obligation to revise or update any forward-looking statement for any reason.</w:t>
      </w:r>
      <w:r>
        <w:rPr>
          <w:rFonts w:ascii="Verdana" w:cs="Verdana" w:hAnsi="Verdana" w:eastAsia="Verdana"/>
          <w:i w:val="1"/>
          <w:iCs w:val="1"/>
          <w:outline w:val="0"/>
          <w:color w:val="282828"/>
          <w:sz w:val="18"/>
          <w:szCs w:val="18"/>
          <w:rtl w:val="0"/>
          <w14:textFill>
            <w14:solidFill>
              <w14:srgbClr w14:val="292929"/>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shd w:val="clear" w:color="auto" w:fill="ffffff"/>
    </w:rPr>
  </w:style>
  <w:style w:type="character" w:styleId="Hyperlink.2">
    <w:name w:val="Hyperlink.2"/>
    <w:basedOn w:val="None"/>
    <w:next w:val="Hyperlink.2"/>
    <w:rPr>
      <w:b w:val="1"/>
      <w:bCs w:val="1"/>
      <w:shd w:val="clear" w:color="auto" w:fill="ffffff"/>
    </w:rPr>
  </w:style>
  <w:style w:type="character" w:styleId="Hyperlink.3">
    <w:name w:val="Hyperlink.3"/>
    <w:basedOn w:val="None"/>
    <w:next w:val="Hyperlink.3"/>
    <w:rPr>
      <w:u w:color="007a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