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Verdana" w:hAnsi="Verdana"/>
          <w:sz w:val="18"/>
          <w:szCs w:val="18"/>
        </w:rPr>
      </w:pPr>
      <w:r>
        <w:rPr>
          <w:rFonts w:ascii="Verdana" w:hAnsi="Verdana"/>
          <w:sz w:val="18"/>
          <w:szCs w:val="18"/>
        </w:rPr>
        <w:drawing xmlns:a="http://schemas.openxmlformats.org/drawingml/2006/main">
          <wp:anchor distT="152400" distB="152400" distL="152400" distR="152400" simplePos="0" relativeHeight="251659264" behindDoc="0" locked="0" layoutInCell="1" allowOverlap="1">
            <wp:simplePos x="0" y="0"/>
            <wp:positionH relativeFrom="margin">
              <wp:posOffset>-6349</wp:posOffset>
            </wp:positionH>
            <wp:positionV relativeFrom="line">
              <wp:posOffset>-152399</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p>
    <w:p>
      <w:pPr>
        <w:pStyle w:val="Body"/>
        <w:jc w:val="right"/>
        <w:rPr>
          <w:rFonts w:ascii="Verdana" w:hAnsi="Verdana"/>
          <w:sz w:val="18"/>
          <w:szCs w:val="18"/>
        </w:rPr>
      </w:pPr>
    </w:p>
    <w:p>
      <w:pPr>
        <w:pStyle w:val="Body"/>
        <w:jc w:val="right"/>
        <w:rPr>
          <w:rFonts w:ascii="Verdana" w:hAnsi="Verdana"/>
          <w:sz w:val="18"/>
          <w:szCs w:val="18"/>
        </w:rPr>
      </w:pPr>
    </w:p>
    <w:p>
      <w:pPr>
        <w:pStyle w:val="Body"/>
        <w:jc w:val="right"/>
        <w:rPr>
          <w:rFonts w:ascii="Verdana" w:cs="Verdana" w:hAnsi="Verdana" w:eastAsia="Verdana"/>
          <w:sz w:val="18"/>
          <w:szCs w:val="18"/>
        </w:rPr>
      </w:pPr>
      <w:r>
        <w:rPr>
          <w:rFonts w:ascii="Verdana" w:hAnsi="Verdana"/>
          <w:sz w:val="18"/>
          <w:szCs w:val="18"/>
          <w:rtl w:val="0"/>
          <w:lang w:val="en-US"/>
        </w:rPr>
        <w:t>Media Contacts:</w:t>
      </w:r>
    </w:p>
    <w:p>
      <w:pPr>
        <w:pStyle w:val="Body"/>
        <w:jc w:val="right"/>
        <w:rPr>
          <w:rFonts w:ascii="Verdana" w:cs="Verdana" w:hAnsi="Verdana" w:eastAsia="Verdana"/>
          <w:sz w:val="18"/>
          <w:szCs w:val="18"/>
        </w:rPr>
      </w:pPr>
      <w:r>
        <w:rPr>
          <w:rFonts w:ascii="Verdana" w:hAnsi="Verdana"/>
          <w:sz w:val="18"/>
          <w:szCs w:val="18"/>
          <w:rtl w:val="0"/>
          <w:lang w:val="fr-FR"/>
        </w:rPr>
        <w:t>IB Communications</w:t>
      </w:r>
    </w:p>
    <w:p>
      <w:pPr>
        <w:pStyle w:val="Body"/>
        <w:jc w:val="right"/>
        <w:rPr>
          <w:rFonts w:ascii="Verdana" w:cs="Verdana" w:hAnsi="Verdana" w:eastAsia="Verdana"/>
          <w:sz w:val="18"/>
          <w:szCs w:val="18"/>
        </w:rPr>
      </w:pPr>
      <w:r>
        <w:rPr>
          <w:rFonts w:ascii="Verdana" w:hAnsi="Verdana"/>
          <w:sz w:val="18"/>
          <w:szCs w:val="18"/>
          <w:rtl w:val="0"/>
        </w:rPr>
        <w:t>Tel</w:t>
      </w:r>
      <w:r>
        <w:rPr>
          <w:rFonts w:ascii="Verdana" w:hAnsi="Verdana" w:hint="default"/>
          <w:sz w:val="18"/>
          <w:szCs w:val="18"/>
          <w:rtl w:val="0"/>
        </w:rPr>
        <w:t> </w:t>
      </w:r>
      <w:r>
        <w:rPr>
          <w:rStyle w:val="Hyperlink.0"/>
          <w:rFonts w:ascii="Verdana" w:cs="Verdana" w:hAnsi="Verdana" w:eastAsia="Verdana"/>
          <w:sz w:val="18"/>
          <w:szCs w:val="18"/>
        </w:rPr>
        <w:fldChar w:fldCharType="begin" w:fldLock="0"/>
      </w:r>
      <w:r>
        <w:rPr>
          <w:rStyle w:val="Hyperlink.0"/>
          <w:rFonts w:ascii="Verdana" w:cs="Verdana" w:hAnsi="Verdana" w:eastAsia="Verdana"/>
          <w:sz w:val="18"/>
          <w:szCs w:val="18"/>
        </w:rPr>
        <w:instrText xml:space="preserve"> HYPERLINK "tel:+44%20(0)20%2089434685"</w:instrText>
      </w:r>
      <w:r>
        <w:rPr>
          <w:rStyle w:val="Hyperlink.0"/>
          <w:rFonts w:ascii="Verdana" w:cs="Verdana" w:hAnsi="Verdana" w:eastAsia="Verdana"/>
          <w:sz w:val="18"/>
          <w:szCs w:val="18"/>
        </w:rPr>
        <w:fldChar w:fldCharType="separate" w:fldLock="0"/>
      </w:r>
      <w:r>
        <w:rPr>
          <w:rStyle w:val="Hyperlink.0"/>
          <w:rFonts w:ascii="Verdana" w:hAnsi="Verdana"/>
          <w:sz w:val="18"/>
          <w:szCs w:val="18"/>
          <w:rtl w:val="0"/>
        </w:rPr>
        <w:t>+44 (0)20 89434685</w:t>
      </w:r>
      <w:r>
        <w:rPr>
          <w:rFonts w:ascii="Verdana" w:cs="Verdana" w:hAnsi="Verdana" w:eastAsia="Verdana"/>
          <w:sz w:val="18"/>
          <w:szCs w:val="18"/>
        </w:rPr>
        <w:fldChar w:fldCharType="end" w:fldLock="0"/>
      </w:r>
    </w:p>
    <w:p>
      <w:pPr>
        <w:pStyle w:val="Body"/>
        <w:jc w:val="right"/>
        <w:rPr>
          <w:rFonts w:ascii="Verdana" w:cs="Verdana" w:hAnsi="Verdana" w:eastAsia="Verdana"/>
          <w:sz w:val="18"/>
          <w:szCs w:val="18"/>
        </w:rPr>
      </w:pPr>
      <w:r>
        <w:rPr>
          <w:rStyle w:val="Hyperlink.0"/>
          <w:rFonts w:ascii="Verdana" w:cs="Verdana" w:hAnsi="Verdana" w:eastAsia="Verdana"/>
          <w:sz w:val="18"/>
          <w:szCs w:val="18"/>
        </w:rPr>
        <w:fldChar w:fldCharType="begin" w:fldLock="0"/>
      </w:r>
      <w:r>
        <w:rPr>
          <w:rStyle w:val="Hyperlink.0"/>
          <w:rFonts w:ascii="Verdana" w:cs="Verdana" w:hAnsi="Verdana" w:eastAsia="Verdana"/>
          <w:sz w:val="18"/>
          <w:szCs w:val="18"/>
        </w:rPr>
        <w:instrText xml:space="preserve"> HYPERLINK "mailto:cellprothera@ibcomms.agency"</w:instrText>
      </w:r>
      <w:r>
        <w:rPr>
          <w:rStyle w:val="Hyperlink.0"/>
          <w:rFonts w:ascii="Verdana" w:cs="Verdana" w:hAnsi="Verdana" w:eastAsia="Verdana"/>
          <w:sz w:val="18"/>
          <w:szCs w:val="18"/>
        </w:rPr>
        <w:fldChar w:fldCharType="separate" w:fldLock="0"/>
      </w:r>
      <w:r>
        <w:rPr>
          <w:rStyle w:val="Hyperlink.0"/>
          <w:rFonts w:ascii="Verdana" w:hAnsi="Verdana"/>
          <w:sz w:val="18"/>
          <w:szCs w:val="18"/>
          <w:rtl w:val="0"/>
          <w:lang w:val="en-US"/>
        </w:rPr>
        <w:t>cellprothera@ibcomms.agency</w:t>
      </w:r>
      <w:r>
        <w:rPr>
          <w:rFonts w:ascii="Verdana" w:cs="Verdana" w:hAnsi="Verdana" w:eastAsia="Verdana"/>
          <w:sz w:val="18"/>
          <w:szCs w:val="18"/>
        </w:rPr>
        <w:fldChar w:fldCharType="end" w:fldLock="0"/>
      </w:r>
    </w:p>
    <w:p>
      <w:pPr>
        <w:pStyle w:val="Body"/>
        <w:rPr>
          <w:rFonts w:ascii="Verdana" w:cs="Verdana" w:hAnsi="Verdana" w:eastAsia="Verdana"/>
          <w:sz w:val="18"/>
          <w:szCs w:val="18"/>
        </w:rPr>
      </w:pPr>
    </w:p>
    <w:p>
      <w:pPr>
        <w:pStyle w:val="Body"/>
        <w:rPr>
          <w:rFonts w:ascii="Verdana" w:cs="Verdana" w:hAnsi="Verdana" w:eastAsia="Verdana"/>
          <w:sz w:val="18"/>
          <w:szCs w:val="18"/>
        </w:rPr>
      </w:pPr>
    </w:p>
    <w:p>
      <w:pPr>
        <w:pStyle w:val="Body"/>
        <w:rPr>
          <w:rFonts w:ascii="Verdana" w:cs="Verdana" w:hAnsi="Verdana" w:eastAsia="Verdana"/>
          <w:sz w:val="18"/>
          <w:szCs w:val="18"/>
        </w:rPr>
      </w:pPr>
    </w:p>
    <w:p>
      <w:pPr>
        <w:pStyle w:val="Body"/>
        <w:rPr>
          <w:rFonts w:ascii="Verdana" w:cs="Verdana" w:hAnsi="Verdana" w:eastAsia="Verdana"/>
          <w:b w:val="1"/>
          <w:bCs w:val="1"/>
          <w:sz w:val="18"/>
          <w:szCs w:val="18"/>
        </w:rPr>
      </w:pPr>
    </w:p>
    <w:p>
      <w:pPr>
        <w:pStyle w:val="Body"/>
        <w:rPr>
          <w:rFonts w:ascii="Verdana" w:cs="Verdana" w:hAnsi="Verdana" w:eastAsia="Verdana"/>
          <w:b w:val="1"/>
          <w:bCs w:val="1"/>
          <w:sz w:val="18"/>
          <w:szCs w:val="18"/>
        </w:rPr>
      </w:pPr>
    </w:p>
    <w:p>
      <w:pPr>
        <w:pStyle w:val="Body"/>
        <w:rPr>
          <w:rFonts w:ascii="Verdana" w:cs="Verdana" w:hAnsi="Verdana" w:eastAsia="Verdana"/>
          <w:b w:val="1"/>
          <w:bCs w:val="1"/>
          <w:sz w:val="18"/>
          <w:szCs w:val="18"/>
          <w:shd w:val="clear" w:color="auto" w:fill="ffffff"/>
        </w:rPr>
      </w:pPr>
      <w:r>
        <w:rPr>
          <w:rFonts w:ascii="Verdana" w:hAnsi="Verdana"/>
          <w:b w:val="1"/>
          <w:bCs w:val="1"/>
          <w:sz w:val="18"/>
          <w:szCs w:val="18"/>
          <w:shd w:val="clear" w:color="auto" w:fill="ffffff"/>
          <w:rtl w:val="0"/>
          <w:lang w:val="en-US"/>
        </w:rPr>
        <w:t>BioCardia and CellProthera Enhance Collaboration for Development of ProtheraCytes(TM) for the Treatment of Acute Myocardial Infarction in Europe and Potential Early Access for Patients</w:t>
      </w:r>
    </w:p>
    <w:p>
      <w:pPr>
        <w:pStyle w:val="Body"/>
        <w:rPr>
          <w:rFonts w:ascii="Verdana" w:cs="Verdana" w:hAnsi="Verdana" w:eastAsia="Verdana"/>
          <w:sz w:val="18"/>
          <w:szCs w:val="18"/>
          <w:shd w:val="clear" w:color="auto" w:fill="ffffff"/>
        </w:rPr>
      </w:pPr>
    </w:p>
    <w:p>
      <w:pPr>
        <w:pStyle w:val="Body"/>
        <w:rPr>
          <w:rStyle w:val="None"/>
          <w:rFonts w:ascii="Verdana" w:cs="Verdana" w:hAnsi="Verdana" w:eastAsia="Verdana"/>
          <w:sz w:val="18"/>
          <w:szCs w:val="18"/>
          <w:shd w:val="clear" w:color="auto" w:fill="ffffff"/>
        </w:rPr>
      </w:pPr>
      <w:r>
        <w:rPr>
          <w:rFonts w:ascii="Verdana" w:hAnsi="Verdana"/>
          <w:b w:val="1"/>
          <w:bCs w:val="1"/>
          <w:sz w:val="18"/>
          <w:szCs w:val="18"/>
          <w:shd w:val="clear" w:color="auto" w:fill="ffffff"/>
          <w:rtl w:val="0"/>
          <w:lang w:val="en-US"/>
        </w:rPr>
        <w:t>Sunnyvale, California, US and Mulhouse, France,</w:t>
      </w:r>
      <w:r>
        <w:rPr>
          <w:rFonts w:ascii="Verdana" w:hAnsi="Verdana" w:hint="default"/>
          <w:b w:val="1"/>
          <w:bCs w:val="1"/>
          <w:sz w:val="18"/>
          <w:szCs w:val="18"/>
          <w:shd w:val="clear" w:color="auto" w:fill="ffffff"/>
          <w:rtl w:val="0"/>
        </w:rPr>
        <w:t> </w:t>
      </w:r>
      <w:r>
        <w:rPr>
          <w:rFonts w:ascii="Verdana" w:hAnsi="Verdana"/>
          <w:b w:val="1"/>
          <w:bCs w:val="1"/>
          <w:sz w:val="18"/>
          <w:szCs w:val="18"/>
          <w:shd w:val="clear" w:color="auto" w:fill="ffffff"/>
          <w:rtl w:val="0"/>
          <w:lang w:val="en-US"/>
        </w:rPr>
        <w:t>February 1, 2023</w:t>
      </w:r>
      <w:r>
        <w:rPr>
          <w:rFonts w:ascii="Verdana" w:hAnsi="Verdana"/>
          <w:sz w:val="18"/>
          <w:szCs w:val="18"/>
          <w:shd w:val="clear" w:color="auto" w:fill="ffffff"/>
          <w:rtl w:val="0"/>
          <w:lang w:val="ru-RU"/>
        </w:rPr>
        <w:t xml:space="preserve"> -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"https://www.biocardia.com/"</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it-IT"/>
        </w:rPr>
        <w:t>BioCardia, Inc.</w:t>
      </w:r>
      <w:r>
        <w:rPr>
          <w:rFonts w:ascii="Verdana" w:cs="Verdana" w:hAnsi="Verdana" w:eastAsia="Verdana"/>
          <w:sz w:val="18"/>
          <w:szCs w:val="18"/>
        </w:rPr>
        <w:fldChar w:fldCharType="end" w:fldLock="0"/>
      </w:r>
      <w:r>
        <w:rPr>
          <w:rStyle w:val="None"/>
          <w:rFonts w:ascii="Verdana" w:hAnsi="Verdana"/>
          <w:b w:val="1"/>
          <w:bCs w:val="1"/>
          <w:sz w:val="18"/>
          <w:szCs w:val="18"/>
          <w:shd w:val="clear" w:color="auto" w:fill="ffffff"/>
          <w:rtl w:val="0"/>
          <w:lang w:val="en-US"/>
        </w:rPr>
        <w:t xml:space="preserve"> [Nasdaq: BCDA]</w:t>
      </w:r>
      <w:r>
        <w:rPr>
          <w:rStyle w:val="None"/>
          <w:rFonts w:ascii="Verdana" w:hAnsi="Verdana"/>
          <w:sz w:val="18"/>
          <w:szCs w:val="18"/>
          <w:shd w:val="clear" w:color="auto" w:fill="ffffff"/>
          <w:rtl w:val="0"/>
          <w:lang w:val="en-US"/>
        </w:rPr>
        <w:t xml:space="preserve">, a developer of cellular and cell-derived therapeutics for the treatment of cardiovascular and pulmonary diseases, and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"https://www.cellprothera.com/en/home/"</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CellProthera</w:t>
      </w:r>
      <w:r>
        <w:rPr>
          <w:rFonts w:ascii="Verdana" w:cs="Verdana" w:hAnsi="Verdana" w:eastAsia="Verdana"/>
          <w:sz w:val="18"/>
          <w:szCs w:val="18"/>
        </w:rPr>
        <w:fldChar w:fldCharType="end" w:fldLock="0"/>
      </w:r>
      <w:r>
        <w:rPr>
          <w:rStyle w:val="None"/>
          <w:rFonts w:ascii="Verdana" w:hAnsi="Verdana"/>
          <w:sz w:val="18"/>
          <w:szCs w:val="18"/>
          <w:shd w:val="clear" w:color="auto" w:fill="ffffff"/>
          <w:rtl w:val="0"/>
          <w:lang w:val="en-US"/>
        </w:rPr>
        <w:t xml:space="preserve">, a private developer of cell-based therapies to repair ischemic tissues, today announce an amendment to their Clinical Research Supply and Support Agreement. </w:t>
      </w:r>
    </w:p>
    <w:p>
      <w:pPr>
        <w:pStyle w:val="Body"/>
        <w:rPr>
          <w:rStyle w:val="None"/>
          <w:rFonts w:ascii="Verdana" w:cs="Verdana" w:hAnsi="Verdana" w:eastAsia="Verdana"/>
          <w:sz w:val="18"/>
          <w:szCs w:val="18"/>
          <w:shd w:val="clear" w:color="auto" w:fill="ffffff"/>
        </w:rPr>
      </w:pPr>
    </w:p>
    <w:p>
      <w:pPr>
        <w:pStyle w:val="Body"/>
        <w:rPr>
          <w:rStyle w:val="None"/>
          <w:rFonts w:ascii="Verdana" w:cs="Verdana" w:hAnsi="Verdana" w:eastAsia="Verdana"/>
          <w:sz w:val="18"/>
          <w:szCs w:val="18"/>
          <w:shd w:val="clear" w:color="auto" w:fill="ffffff"/>
        </w:rPr>
      </w:pPr>
      <w:r>
        <w:rPr>
          <w:rStyle w:val="None"/>
          <w:rFonts w:ascii="Verdana" w:hAnsi="Verdana"/>
          <w:sz w:val="18"/>
          <w:szCs w:val="18"/>
          <w:shd w:val="clear" w:color="auto" w:fill="ffffff"/>
          <w:rtl w:val="0"/>
          <w:lang w:val="en-US"/>
        </w:rPr>
        <w:t>The amendment extends the long-term partnership between both organizations. The agreement relates to CellProthera</w:t>
      </w:r>
      <w:r>
        <w:rPr>
          <w:rStyle w:val="None"/>
          <w:rFonts w:ascii="Verdana" w:hAnsi="Verdana" w:hint="default"/>
          <w:sz w:val="18"/>
          <w:szCs w:val="18"/>
          <w:shd w:val="clear" w:color="auto" w:fill="ffffff"/>
          <w:rtl w:val="1"/>
        </w:rPr>
        <w:t>’</w:t>
      </w:r>
      <w:r>
        <w:rPr>
          <w:rStyle w:val="None"/>
          <w:rFonts w:ascii="Verdana" w:hAnsi="Verdana"/>
          <w:sz w:val="18"/>
          <w:szCs w:val="18"/>
          <w:shd w:val="clear" w:color="auto" w:fill="ffffff"/>
          <w:rtl w:val="0"/>
          <w:lang w:val="en-US"/>
        </w:rPr>
        <w:t>s use of BioCardia</w:t>
      </w:r>
      <w:r>
        <w:rPr>
          <w:rStyle w:val="None"/>
          <w:rFonts w:ascii="Verdana" w:hAnsi="Verdana" w:hint="default"/>
          <w:sz w:val="18"/>
          <w:szCs w:val="18"/>
          <w:shd w:val="clear" w:color="auto" w:fill="ffffff"/>
          <w:rtl w:val="1"/>
        </w:rPr>
        <w:t>’</w:t>
      </w:r>
      <w:r>
        <w:rPr>
          <w:rStyle w:val="None"/>
          <w:rFonts w:ascii="Verdana" w:hAnsi="Verdana"/>
          <w:sz w:val="18"/>
          <w:szCs w:val="18"/>
          <w:shd w:val="clear" w:color="auto" w:fill="ffffff"/>
          <w:rtl w:val="0"/>
          <w:lang w:val="en-US"/>
        </w:rPr>
        <w:t>s Helix(TM) transendocardial biotherapeutic delivery system for its ongoing Phase I/IIb EXCELLENT study of its lead product candidate ProtheraCytes(TM).</w:t>
      </w:r>
    </w:p>
    <w:p>
      <w:pPr>
        <w:pStyle w:val="Body"/>
        <w:rPr>
          <w:rStyle w:val="None"/>
          <w:rFonts w:ascii="Verdana" w:cs="Verdana" w:hAnsi="Verdana" w:eastAsia="Verdana"/>
          <w:sz w:val="18"/>
          <w:szCs w:val="18"/>
          <w:shd w:val="clear" w:color="auto" w:fill="ffffff"/>
        </w:rPr>
      </w:pPr>
    </w:p>
    <w:p>
      <w:pPr>
        <w:pStyle w:val="Body"/>
        <w:rPr>
          <w:rFonts w:ascii="Verdana" w:cs="Verdana" w:hAnsi="Verdana" w:eastAsia="Verdana"/>
          <w:sz w:val="18"/>
          <w:szCs w:val="18"/>
        </w:rPr>
      </w:pPr>
      <w:r>
        <w:rPr>
          <w:rFonts w:ascii="Verdana" w:hAnsi="Verdana"/>
          <w:sz w:val="18"/>
          <w:szCs w:val="18"/>
          <w:rtl w:val="0"/>
          <w:lang w:val="en-US"/>
        </w:rPr>
        <w:t>CellProthera has developed ProtheraCytes as a one shot minimally invasive autologous ATMP cell therapy to improve the quality of life of post-Acute Myocardial Infarction (AMI) patients who have no therapeutic solution to restore the heart</w:t>
      </w:r>
      <w:r>
        <w:rPr>
          <w:rFonts w:ascii="Verdana" w:hAnsi="Verdana" w:hint="default"/>
          <w:sz w:val="18"/>
          <w:szCs w:val="18"/>
          <w:rtl w:val="1"/>
        </w:rPr>
        <w:t>’</w:t>
      </w:r>
      <w:r>
        <w:rPr>
          <w:rFonts w:ascii="Verdana" w:hAnsi="Verdana"/>
          <w:sz w:val="18"/>
          <w:szCs w:val="18"/>
          <w:rtl w:val="0"/>
          <w:lang w:val="en-US"/>
        </w:rPr>
        <w:t>s function, and to reduce ongoing hospitalizations and invasive medical treatments such as heart transplants. BioCardia</w:t>
      </w:r>
      <w:r>
        <w:rPr>
          <w:rFonts w:ascii="Verdana" w:hAnsi="Verdana" w:hint="default"/>
          <w:sz w:val="18"/>
          <w:szCs w:val="18"/>
          <w:rtl w:val="1"/>
        </w:rPr>
        <w:t>’</w:t>
      </w:r>
      <w:r>
        <w:rPr>
          <w:rFonts w:ascii="Verdana" w:hAnsi="Verdana"/>
          <w:sz w:val="18"/>
          <w:szCs w:val="18"/>
          <w:rtl w:val="0"/>
          <w:lang w:val="en-US"/>
        </w:rPr>
        <w:t>s Helix Biotherapeutic Delivery System is the leading percutaneous catheter delivery system for cardiovascular regenerative medicine. It enables local delivery of cell and gene-based therapies to treat heart failure, myocardial infarction, ischemia, and cardiac conduction disorders.</w:t>
      </w:r>
    </w:p>
    <w:p>
      <w:pPr>
        <w:pStyle w:val="Body"/>
        <w:rPr>
          <w:rFonts w:ascii="Verdana" w:cs="Verdana" w:hAnsi="Verdana" w:eastAsia="Verdana"/>
          <w:sz w:val="18"/>
          <w:szCs w:val="18"/>
        </w:rPr>
      </w:pPr>
    </w:p>
    <w:p>
      <w:pPr>
        <w:pStyle w:val="Body"/>
        <w:rPr>
          <w:rStyle w:val="None"/>
          <w:rFonts w:ascii="Verdana" w:cs="Verdana" w:hAnsi="Verdana" w:eastAsia="Verdana"/>
          <w:sz w:val="18"/>
          <w:szCs w:val="18"/>
          <w:shd w:val="clear" w:color="auto" w:fill="ffffff"/>
        </w:rPr>
      </w:pPr>
      <w:r>
        <w:rPr>
          <w:rStyle w:val="None"/>
          <w:rFonts w:ascii="Verdana" w:hAnsi="Verdana"/>
          <w:sz w:val="18"/>
          <w:szCs w:val="18"/>
          <w:shd w:val="clear" w:color="auto" w:fill="ffffff"/>
          <w:rtl w:val="0"/>
          <w:lang w:val="en-US"/>
        </w:rPr>
        <w:t>CellProthera and BioCardia have extended the agreement to complete the ongoing Phase I/IIb EXCELLENT study. The agreement incorporates the intention for both organizations to work together regarding CellProthera</w:t>
      </w:r>
      <w:r>
        <w:rPr>
          <w:rStyle w:val="None"/>
          <w:rFonts w:ascii="Verdana" w:hAnsi="Verdana" w:hint="default"/>
          <w:sz w:val="18"/>
          <w:szCs w:val="18"/>
          <w:shd w:val="clear" w:color="auto" w:fill="ffffff"/>
          <w:rtl w:val="1"/>
        </w:rPr>
        <w:t>’</w:t>
      </w:r>
      <w:r>
        <w:rPr>
          <w:rStyle w:val="None"/>
          <w:rFonts w:ascii="Verdana" w:hAnsi="Verdana"/>
          <w:sz w:val="18"/>
          <w:szCs w:val="18"/>
          <w:shd w:val="clear" w:color="auto" w:fill="ffffff"/>
          <w:rtl w:val="0"/>
          <w:lang w:val="en-US"/>
        </w:rPr>
        <w:t xml:space="preserve">s next clinical study, potential early access commercialization, which could begin in 2024, and future full commercialization programs. </w:t>
      </w:r>
    </w:p>
    <w:p>
      <w:pPr>
        <w:pStyle w:val="Body"/>
        <w:rPr>
          <w:rStyle w:val="None"/>
          <w:rFonts w:ascii="Verdana" w:cs="Verdana" w:hAnsi="Verdana" w:eastAsia="Verdana"/>
          <w:sz w:val="18"/>
          <w:szCs w:val="18"/>
          <w:shd w:val="clear" w:color="auto" w:fill="ffffff"/>
        </w:rPr>
      </w:pPr>
    </w:p>
    <w:p>
      <w:pPr>
        <w:pStyle w:val="Body"/>
        <w:rPr>
          <w:rStyle w:val="None"/>
          <w:rFonts w:ascii="Verdana" w:cs="Verdana" w:hAnsi="Verdana" w:eastAsia="Verdana"/>
          <w:sz w:val="18"/>
          <w:szCs w:val="18"/>
          <w:shd w:val="clear" w:color="auto" w:fill="ffffff"/>
        </w:rPr>
      </w:pPr>
      <w:r>
        <w:rPr>
          <w:rStyle w:val="None"/>
          <w:rFonts w:ascii="Verdana" w:hAnsi="Verdana" w:hint="default"/>
          <w:sz w:val="18"/>
          <w:szCs w:val="18"/>
          <w:shd w:val="clear" w:color="auto" w:fill="ffffff"/>
          <w:rtl w:val="1"/>
          <w:lang w:val="ar-SA" w:bidi="ar-SA"/>
        </w:rPr>
        <w:t>“</w:t>
      </w:r>
      <w:r>
        <w:rPr>
          <w:rStyle w:val="None"/>
          <w:rFonts w:ascii="Verdana" w:hAnsi="Verdana"/>
          <w:sz w:val="18"/>
          <w:szCs w:val="18"/>
          <w:shd w:val="clear" w:color="auto" w:fill="ffffff"/>
          <w:rtl w:val="0"/>
          <w:lang w:val="en-US"/>
        </w:rPr>
        <w:t>CellProthera</w:t>
      </w:r>
      <w:r>
        <w:rPr>
          <w:rStyle w:val="None"/>
          <w:rFonts w:ascii="Verdana" w:hAnsi="Verdana" w:hint="default"/>
          <w:sz w:val="18"/>
          <w:szCs w:val="18"/>
          <w:shd w:val="clear" w:color="auto" w:fill="ffffff"/>
          <w:rtl w:val="1"/>
        </w:rPr>
        <w:t>’</w:t>
      </w:r>
      <w:r>
        <w:rPr>
          <w:rStyle w:val="None"/>
          <w:rFonts w:ascii="Verdana" w:hAnsi="Verdana"/>
          <w:sz w:val="18"/>
          <w:szCs w:val="18"/>
          <w:shd w:val="clear" w:color="auto" w:fill="ffffff"/>
          <w:rtl w:val="0"/>
          <w:lang w:val="en-US"/>
        </w:rPr>
        <w:t xml:space="preserve">s therapeutic solution meets a high unmet medical need and has considerable commercial potential. We remain optimistic that they will be demonstrating clinically meaningful and statistically significant benefits from their ongoing Phase I/IIb clinical trial for post-AMI patients that have no alternative therapeutic options," said Peter Altman, PhD., Chief Executive Officer, BioCardia. </w:t>
      </w:r>
      <w:r>
        <w:rPr>
          <w:rStyle w:val="None"/>
          <w:rFonts w:ascii="Verdana" w:hAnsi="Verdana" w:hint="default"/>
          <w:sz w:val="18"/>
          <w:szCs w:val="18"/>
          <w:shd w:val="clear" w:color="auto" w:fill="ffffff"/>
          <w:rtl w:val="1"/>
          <w:lang w:val="ar-SA" w:bidi="ar-SA"/>
        </w:rPr>
        <w:t>“</w:t>
      </w:r>
      <w:r>
        <w:rPr>
          <w:rStyle w:val="None"/>
          <w:rFonts w:ascii="Verdana" w:hAnsi="Verdana"/>
          <w:sz w:val="18"/>
          <w:szCs w:val="18"/>
          <w:shd w:val="clear" w:color="auto" w:fill="ffffff"/>
          <w:rtl w:val="0"/>
          <w:lang w:val="en-US"/>
        </w:rPr>
        <w:t>We also look forward to the potential of early commercial access that may be granted in 2024 for the benefit of patients and continued clinical development together in the European Union and the United Kingdom.</w:t>
      </w:r>
      <w:r>
        <w:rPr>
          <w:rStyle w:val="None"/>
          <w:rFonts w:ascii="Verdana" w:hAnsi="Verdana" w:hint="default"/>
          <w:sz w:val="18"/>
          <w:szCs w:val="18"/>
          <w:shd w:val="clear" w:color="auto" w:fill="ffffff"/>
          <w:rtl w:val="0"/>
        </w:rPr>
        <w:t>”</w:t>
      </w:r>
    </w:p>
    <w:p>
      <w:pPr>
        <w:pStyle w:val="Body"/>
        <w:rPr>
          <w:rStyle w:val="None"/>
          <w:rFonts w:ascii="Verdana" w:cs="Verdana" w:hAnsi="Verdana" w:eastAsia="Verdana"/>
          <w:sz w:val="18"/>
          <w:szCs w:val="18"/>
          <w:shd w:val="clear" w:color="auto" w:fill="ffffff"/>
        </w:rPr>
      </w:pPr>
      <w:r>
        <w:rPr>
          <w:rStyle w:val="None"/>
          <w:rFonts w:ascii="Verdana" w:hAnsi="Verdana" w:hint="default"/>
          <w:sz w:val="18"/>
          <w:szCs w:val="18"/>
          <w:shd w:val="clear" w:color="auto" w:fill="ffffff"/>
          <w:rtl w:val="0"/>
        </w:rPr>
        <w:t> </w:t>
      </w:r>
    </w:p>
    <w:p>
      <w:pPr>
        <w:pStyle w:val="Body"/>
        <w:rPr>
          <w:rStyle w:val="None"/>
          <w:rFonts w:ascii="Verdana" w:cs="Verdana" w:hAnsi="Verdana" w:eastAsia="Verdana"/>
          <w:sz w:val="18"/>
          <w:szCs w:val="18"/>
          <w:shd w:val="clear" w:color="auto" w:fill="ffffff"/>
        </w:rPr>
      </w:pPr>
      <w:r>
        <w:rPr>
          <w:rStyle w:val="None"/>
          <w:rFonts w:ascii="Verdana" w:hAnsi="Verdana" w:hint="default"/>
          <w:sz w:val="18"/>
          <w:szCs w:val="18"/>
          <w:shd w:val="clear" w:color="auto" w:fill="ffffff"/>
          <w:rtl w:val="1"/>
          <w:lang w:val="ar-SA" w:bidi="ar-SA"/>
        </w:rPr>
        <w:t>“</w:t>
      </w:r>
      <w:r>
        <w:rPr>
          <w:rStyle w:val="None"/>
          <w:rFonts w:ascii="Verdana" w:hAnsi="Verdana"/>
          <w:sz w:val="18"/>
          <w:szCs w:val="18"/>
          <w:shd w:val="clear" w:color="auto" w:fill="ffffff"/>
          <w:rtl w:val="0"/>
          <w:lang w:val="it-IT"/>
        </w:rPr>
        <w:t>BioCardia</w:t>
      </w:r>
      <w:r>
        <w:rPr>
          <w:rStyle w:val="None"/>
          <w:rFonts w:ascii="Verdana" w:hAnsi="Verdana" w:hint="default"/>
          <w:sz w:val="18"/>
          <w:szCs w:val="18"/>
          <w:shd w:val="clear" w:color="auto" w:fill="ffffff"/>
          <w:rtl w:val="1"/>
        </w:rPr>
        <w:t>’</w:t>
      </w:r>
      <w:r>
        <w:rPr>
          <w:rStyle w:val="None"/>
          <w:rFonts w:ascii="Verdana" w:hAnsi="Verdana"/>
          <w:sz w:val="18"/>
          <w:szCs w:val="18"/>
          <w:shd w:val="clear" w:color="auto" w:fill="ffffff"/>
          <w:rtl w:val="0"/>
          <w:lang w:val="en-US"/>
        </w:rPr>
        <w:t>s Helix delivery system has enabled CellProthera to enhance the delivery and retention of our cellular product in the heart while maintaining the status of a minimally invasive procedure. The Helix system has performed excellently,</w:t>
      </w:r>
      <w:r>
        <w:rPr>
          <w:rStyle w:val="None"/>
          <w:rFonts w:ascii="Verdana" w:hAnsi="Verdana" w:hint="default"/>
          <w:sz w:val="18"/>
          <w:szCs w:val="18"/>
          <w:shd w:val="clear" w:color="auto" w:fill="ffffff"/>
          <w:rtl w:val="0"/>
        </w:rPr>
        <w:t xml:space="preserve">” </w:t>
      </w:r>
      <w:r>
        <w:rPr>
          <w:rStyle w:val="None"/>
          <w:rFonts w:ascii="Verdana" w:hAnsi="Verdana"/>
          <w:sz w:val="18"/>
          <w:szCs w:val="18"/>
          <w:shd w:val="clear" w:color="auto" w:fill="ffffff"/>
          <w:rtl w:val="0"/>
          <w:lang w:val="en-US"/>
        </w:rPr>
        <w:t xml:space="preserve">said Matthieu de Kalbermatten CEO, CellProthera. </w:t>
      </w:r>
      <w:r>
        <w:rPr>
          <w:rStyle w:val="None"/>
          <w:rFonts w:ascii="Verdana" w:hAnsi="Verdana" w:hint="default"/>
          <w:sz w:val="18"/>
          <w:szCs w:val="18"/>
          <w:shd w:val="clear" w:color="auto" w:fill="ffffff"/>
          <w:rtl w:val="1"/>
          <w:lang w:val="ar-SA" w:bidi="ar-SA"/>
        </w:rPr>
        <w:t>“</w:t>
      </w:r>
      <w:r>
        <w:rPr>
          <w:rStyle w:val="None"/>
          <w:rFonts w:ascii="Verdana" w:hAnsi="Verdana"/>
          <w:sz w:val="18"/>
          <w:szCs w:val="18"/>
          <w:shd w:val="clear" w:color="auto" w:fill="ffffff"/>
          <w:rtl w:val="0"/>
          <w:lang w:val="en-US"/>
        </w:rPr>
        <w:t>As we complete enrollment in our Phase I/IIb program, this year, it is strategically important for CellProthera to strengthen its partnership with BioCardia for the ultimate benefit of patients, the physicians that treat them, and both companies</w:t>
      </w:r>
      <w:r>
        <w:rPr>
          <w:rStyle w:val="None"/>
          <w:rFonts w:ascii="Verdana" w:hAnsi="Verdana" w:hint="default"/>
          <w:sz w:val="18"/>
          <w:szCs w:val="18"/>
          <w:shd w:val="clear" w:color="auto" w:fill="ffffff"/>
          <w:rtl w:val="1"/>
        </w:rPr>
        <w:t xml:space="preserve">’ </w:t>
      </w:r>
      <w:r>
        <w:rPr>
          <w:rStyle w:val="None"/>
          <w:rFonts w:ascii="Verdana" w:hAnsi="Verdana"/>
          <w:sz w:val="18"/>
          <w:szCs w:val="18"/>
          <w:shd w:val="clear" w:color="auto" w:fill="ffffff"/>
          <w:rtl w:val="0"/>
        </w:rPr>
        <w:t>stakeholders.</w:t>
      </w:r>
      <w:r>
        <w:rPr>
          <w:rStyle w:val="None"/>
          <w:rFonts w:ascii="Verdana" w:hAnsi="Verdana" w:hint="default"/>
          <w:sz w:val="18"/>
          <w:szCs w:val="18"/>
          <w:shd w:val="clear" w:color="auto" w:fill="ffffff"/>
          <w:rtl w:val="0"/>
        </w:rPr>
        <w:t>”</w:t>
      </w:r>
    </w:p>
    <w:p>
      <w:pPr>
        <w:pStyle w:val="Body"/>
        <w:rPr>
          <w:rStyle w:val="None"/>
          <w:rFonts w:ascii="Verdana" w:cs="Verdana" w:hAnsi="Verdana" w:eastAsia="Verdana"/>
          <w:sz w:val="18"/>
          <w:szCs w:val="18"/>
          <w:shd w:val="clear" w:color="auto" w:fill="ffffff"/>
        </w:rPr>
      </w:pPr>
      <w:r>
        <w:rPr>
          <w:rStyle w:val="None"/>
          <w:rFonts w:ascii="Verdana" w:hAnsi="Verdana" w:hint="default"/>
          <w:sz w:val="18"/>
          <w:szCs w:val="18"/>
          <w:shd w:val="clear" w:color="auto" w:fill="ffffff"/>
          <w:rtl w:val="0"/>
        </w:rPr>
        <w:t> </w:t>
      </w:r>
    </w:p>
    <w:p>
      <w:pPr>
        <w:pStyle w:val="Body"/>
        <w:rPr>
          <w:rStyle w:val="None"/>
          <w:rFonts w:ascii="Verdana" w:cs="Verdana" w:hAnsi="Verdana" w:eastAsia="Verdana"/>
          <w:sz w:val="18"/>
          <w:szCs w:val="18"/>
          <w:shd w:val="clear" w:color="auto" w:fill="ffffff"/>
        </w:rPr>
      </w:pPr>
      <w:r>
        <w:rPr>
          <w:rStyle w:val="None"/>
          <w:rFonts w:ascii="Verdana" w:hAnsi="Verdana"/>
          <w:sz w:val="18"/>
          <w:szCs w:val="18"/>
          <w:shd w:val="clear" w:color="auto" w:fill="ffffff"/>
          <w:rtl w:val="0"/>
          <w:lang w:val="en-US"/>
        </w:rPr>
        <w:t>Under the terms of the agreement, CellProthera is not required to partner with BioCardia therapeutic delivery devices for its commercial or subsequent clinical efforts.</w:t>
      </w:r>
      <w:r>
        <w:rPr>
          <w:rStyle w:val="None"/>
          <w:rFonts w:ascii="Verdana" w:hAnsi="Verdana" w:hint="default"/>
          <w:sz w:val="18"/>
          <w:szCs w:val="18"/>
          <w:shd w:val="clear" w:color="auto" w:fill="ffffff"/>
          <w:rtl w:val="0"/>
        </w:rPr>
        <w:t xml:space="preserve">  </w:t>
      </w:r>
      <w:r>
        <w:rPr>
          <w:rStyle w:val="None"/>
          <w:rFonts w:ascii="Verdana" w:hAnsi="Verdana"/>
          <w:sz w:val="18"/>
          <w:szCs w:val="18"/>
          <w:shd w:val="clear" w:color="auto" w:fill="ffffff"/>
          <w:rtl w:val="0"/>
          <w:lang w:val="en-US"/>
        </w:rPr>
        <w:t>However should it not, BioCardia would receive low single digit royalty on net sales of CellProthera</w:t>
      </w:r>
      <w:r>
        <w:rPr>
          <w:rStyle w:val="None"/>
          <w:rFonts w:ascii="Verdana" w:hAnsi="Verdana" w:hint="default"/>
          <w:sz w:val="18"/>
          <w:szCs w:val="18"/>
          <w:shd w:val="clear" w:color="auto" w:fill="ffffff"/>
          <w:rtl w:val="1"/>
        </w:rPr>
        <w:t>’</w:t>
      </w:r>
      <w:r>
        <w:rPr>
          <w:rStyle w:val="None"/>
          <w:rFonts w:ascii="Verdana" w:hAnsi="Verdana"/>
          <w:sz w:val="18"/>
          <w:szCs w:val="18"/>
          <w:shd w:val="clear" w:color="auto" w:fill="ffffff"/>
          <w:rtl w:val="0"/>
          <w:lang w:val="en-US"/>
        </w:rPr>
        <w:t>s transendocardially delivered ProtheraCytes for its contributions to CellProthera</w:t>
      </w:r>
      <w:r>
        <w:rPr>
          <w:rStyle w:val="None"/>
          <w:rFonts w:ascii="Verdana" w:hAnsi="Verdana" w:hint="default"/>
          <w:sz w:val="18"/>
          <w:szCs w:val="18"/>
          <w:shd w:val="clear" w:color="auto" w:fill="ffffff"/>
          <w:rtl w:val="1"/>
        </w:rPr>
        <w:t>’</w:t>
      </w:r>
      <w:r>
        <w:rPr>
          <w:rStyle w:val="None"/>
          <w:rFonts w:ascii="Verdana" w:hAnsi="Verdana"/>
          <w:sz w:val="18"/>
          <w:szCs w:val="18"/>
          <w:shd w:val="clear" w:color="auto" w:fill="ffffff"/>
          <w:rtl w:val="0"/>
          <w:lang w:val="en-US"/>
        </w:rPr>
        <w:t>s development efforts.</w:t>
      </w:r>
    </w:p>
    <w:p>
      <w:pPr>
        <w:pStyle w:val="Body"/>
        <w:rPr>
          <w:rStyle w:val="None"/>
          <w:rFonts w:ascii="Verdana" w:cs="Verdana" w:hAnsi="Verdana" w:eastAsia="Verdana"/>
          <w:sz w:val="18"/>
          <w:szCs w:val="18"/>
          <w:shd w:val="clear" w:color="auto" w:fill="ffffff"/>
        </w:rPr>
      </w:pPr>
    </w:p>
    <w:p>
      <w:pPr>
        <w:pStyle w:val="Body"/>
        <w:rPr>
          <w:rStyle w:val="None"/>
          <w:rFonts w:ascii="Verdana" w:cs="Verdana" w:hAnsi="Verdana" w:eastAsia="Verdana"/>
          <w:b w:val="1"/>
          <w:bCs w:val="1"/>
          <w:sz w:val="18"/>
          <w:szCs w:val="18"/>
          <w:shd w:val="clear" w:color="auto" w:fill="ffffff"/>
        </w:rPr>
      </w:pPr>
    </w:p>
    <w:p>
      <w:pPr>
        <w:pStyle w:val="Body"/>
        <w:rPr>
          <w:rFonts w:ascii="Verdana" w:cs="Verdana" w:hAnsi="Verdana" w:eastAsia="Verdana"/>
          <w:b w:val="1"/>
          <w:bCs w:val="1"/>
          <w:sz w:val="18"/>
          <w:szCs w:val="18"/>
        </w:rPr>
      </w:pPr>
      <w:r>
        <w:rPr>
          <w:rFonts w:ascii="Verdana" w:hAnsi="Verdana"/>
          <w:b w:val="1"/>
          <w:bCs w:val="1"/>
          <w:sz w:val="18"/>
          <w:szCs w:val="18"/>
          <w:rtl w:val="0"/>
          <w:lang w:val="en-US"/>
        </w:rPr>
        <w:t>About CellProthera</w:t>
      </w:r>
    </w:p>
    <w:p>
      <w:pPr>
        <w:pStyle w:val="Body"/>
        <w:rPr>
          <w:rFonts w:ascii="Verdana" w:cs="Verdana" w:hAnsi="Verdana" w:eastAsia="Verdana"/>
          <w:sz w:val="18"/>
          <w:szCs w:val="18"/>
        </w:rPr>
      </w:pP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"https://www.cellprothera.com/en/home/"</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en-US"/>
        </w:rPr>
        <w:t>CellProthera</w:t>
      </w:r>
      <w:r>
        <w:rPr>
          <w:rFonts w:ascii="Verdana" w:cs="Verdana" w:hAnsi="Verdana" w:eastAsia="Verdana"/>
          <w:sz w:val="18"/>
          <w:szCs w:val="18"/>
        </w:rPr>
        <w:fldChar w:fldCharType="end" w:fldLock="0"/>
      </w:r>
      <w:r>
        <w:rPr>
          <w:rFonts w:ascii="Verdana" w:hAnsi="Verdana" w:hint="default"/>
          <w:sz w:val="18"/>
          <w:szCs w:val="18"/>
          <w:rtl w:val="0"/>
        </w:rPr>
        <w:t> </w:t>
      </w:r>
      <w:r>
        <w:rPr>
          <w:rFonts w:ascii="Verdana" w:hAnsi="Verdana"/>
          <w:sz w:val="18"/>
          <w:szCs w:val="18"/>
          <w:rtl w:val="0"/>
          <w:lang w:val="en-US"/>
        </w:rPr>
        <w:t>is a regenerative cell therapy developer specializing in cardiovascular diseases with a leading program in myocardial infarction.</w:t>
      </w:r>
      <w:r>
        <w:rPr>
          <w:rFonts w:ascii="Verdana" w:hAnsi="Verdana" w:hint="default"/>
          <w:sz w:val="18"/>
          <w:szCs w:val="18"/>
          <w:rtl w:val="0"/>
        </w:rPr>
        <w:t> </w:t>
      </w:r>
      <w:r>
        <w:rPr>
          <w:rFonts w:ascii="Verdana" w:hAnsi="Verdana"/>
          <w:sz w:val="18"/>
          <w:szCs w:val="18"/>
          <w:rtl w:val="0"/>
          <w:lang w:val="en-US"/>
        </w:rPr>
        <w:t>CellProthera has developed a unique GMP-compliant cell expansion process as well as a proprietary automation technology for in vitro production of large quantity of purified, CD34+ stem cells. Its lead therapy ProtheraCytes(TM), is an autologous cell therapy and has been developed for body regeneration and targeted to regenerate various damaged tissues, including cardiac tissue. ProtheraCytes is registered as an Advanced Therapy Medicinal Product by the European Medicine Agency (EMA). CellProthera</w:t>
      </w:r>
      <w:r>
        <w:rPr>
          <w:rFonts w:ascii="Verdana" w:hAnsi="Verdana" w:hint="default"/>
          <w:sz w:val="18"/>
          <w:szCs w:val="18"/>
          <w:rtl w:val="1"/>
        </w:rPr>
        <w:t>’</w:t>
      </w:r>
      <w:r>
        <w:rPr>
          <w:rFonts w:ascii="Verdana" w:hAnsi="Verdana"/>
          <w:sz w:val="18"/>
          <w:szCs w:val="18"/>
          <w:rtl w:val="0"/>
          <w:lang w:val="en-US"/>
        </w:rPr>
        <w:t xml:space="preserve">s proprietary technology platform comprises an automated expansion device called StemXpand(TM) </w:t>
      </w:r>
      <w:r>
        <w:rPr>
          <w:rFonts w:ascii="Verdana" w:hAnsi="Verdana" w:hint="default"/>
          <w:sz w:val="18"/>
          <w:szCs w:val="18"/>
          <w:rtl w:val="0"/>
        </w:rPr>
        <w:t> </w:t>
      </w:r>
      <w:r>
        <w:rPr>
          <w:rFonts w:ascii="Verdana" w:hAnsi="Verdana"/>
          <w:sz w:val="18"/>
          <w:szCs w:val="18"/>
          <w:rtl w:val="0"/>
          <w:lang w:val="en-US"/>
        </w:rPr>
        <w:t>and its disposable kit StemPack(R). CellProthera is headquartered in France and has 22 employees.</w:t>
      </w:r>
    </w:p>
    <w:p>
      <w:pPr>
        <w:pStyle w:val="Body"/>
        <w:rPr>
          <w:rStyle w:val="Hyperlink.3"/>
          <w:rFonts w:ascii="Verdana" w:cs="Verdana" w:hAnsi="Verdana" w:eastAsia="Verdana"/>
          <w:sz w:val="18"/>
          <w:szCs w:val="18"/>
        </w:rPr>
      </w:pPr>
      <w:r>
        <w:rPr>
          <w:rStyle w:val="Hyperlink.3"/>
          <w:rFonts w:ascii="Verdana" w:cs="Verdana" w:hAnsi="Verdana" w:eastAsia="Verdana"/>
          <w:sz w:val="18"/>
          <w:szCs w:val="18"/>
        </w:rPr>
        <w:fldChar w:fldCharType="begin" w:fldLock="0"/>
      </w:r>
      <w:r>
        <w:rPr>
          <w:rStyle w:val="Hyperlink.3"/>
          <w:rFonts w:ascii="Verdana" w:cs="Verdana" w:hAnsi="Verdana" w:eastAsia="Verdana"/>
          <w:sz w:val="18"/>
          <w:szCs w:val="18"/>
        </w:rPr>
        <w:instrText xml:space="preserve"> HYPERLINK "https://www.cellprothera.com/en/home/"</w:instrText>
      </w:r>
      <w:r>
        <w:rPr>
          <w:rStyle w:val="Hyperlink.3"/>
          <w:rFonts w:ascii="Verdana" w:cs="Verdana" w:hAnsi="Verdana" w:eastAsia="Verdana"/>
          <w:sz w:val="18"/>
          <w:szCs w:val="18"/>
        </w:rPr>
        <w:fldChar w:fldCharType="separate" w:fldLock="0"/>
      </w:r>
      <w:r>
        <w:rPr>
          <w:rStyle w:val="Hyperlink.3"/>
          <w:rFonts w:ascii="Verdana" w:hAnsi="Verdana"/>
          <w:sz w:val="18"/>
          <w:szCs w:val="18"/>
          <w:rtl w:val="0"/>
          <w:lang w:val="en-US"/>
        </w:rPr>
        <w:t>https://www.cellprothera.com/en/home/</w:t>
      </w:r>
      <w:r>
        <w:rPr>
          <w:rFonts w:ascii="Verdana" w:cs="Verdana" w:hAnsi="Verdana" w:eastAsia="Verdana"/>
          <w:sz w:val="18"/>
          <w:szCs w:val="18"/>
        </w:rPr>
        <w:fldChar w:fldCharType="end" w:fldLock="0"/>
      </w:r>
    </w:p>
    <w:p>
      <w:pPr>
        <w:pStyle w:val="Body"/>
        <w:rPr>
          <w:rStyle w:val="Hyperlink.3"/>
          <w:rFonts w:ascii="Verdana" w:cs="Verdana" w:hAnsi="Verdana" w:eastAsia="Verdana"/>
          <w:sz w:val="18"/>
          <w:szCs w:val="18"/>
        </w:rPr>
      </w:pPr>
      <w:r>
        <w:rPr>
          <w:rStyle w:val="Hyperlink.3"/>
          <w:rFonts w:ascii="Verdana" w:hAnsi="Verdana" w:hint="default"/>
          <w:sz w:val="18"/>
          <w:szCs w:val="18"/>
          <w:rtl w:val="0"/>
        </w:rPr>
        <w:t> </w:t>
      </w:r>
    </w:p>
    <w:p>
      <w:pPr>
        <w:pStyle w:val="Body"/>
        <w:rPr>
          <w:rStyle w:val="Hyperlink.3"/>
          <w:rFonts w:ascii="Verdana" w:cs="Verdana" w:hAnsi="Verdana" w:eastAsia="Verdana"/>
          <w:b w:val="1"/>
          <w:bCs w:val="1"/>
          <w:sz w:val="18"/>
          <w:szCs w:val="18"/>
        </w:rPr>
      </w:pPr>
    </w:p>
    <w:p>
      <w:pPr>
        <w:pStyle w:val="Body"/>
        <w:rPr>
          <w:rStyle w:val="Hyperlink.3"/>
          <w:rFonts w:ascii="Verdana" w:cs="Verdana" w:hAnsi="Verdana" w:eastAsia="Verdana"/>
          <w:b w:val="1"/>
          <w:bCs w:val="1"/>
          <w:sz w:val="18"/>
          <w:szCs w:val="18"/>
        </w:rPr>
      </w:pPr>
    </w:p>
    <w:p>
      <w:pPr>
        <w:pStyle w:val="Body"/>
        <w:rPr>
          <w:rStyle w:val="Hyperlink.3"/>
          <w:rFonts w:ascii="Verdana" w:cs="Verdana" w:hAnsi="Verdana" w:eastAsia="Verdana"/>
          <w:b w:val="1"/>
          <w:bCs w:val="1"/>
          <w:sz w:val="18"/>
          <w:szCs w:val="18"/>
        </w:rPr>
      </w:pPr>
      <w:r>
        <w:rPr>
          <w:rStyle w:val="Hyperlink.3"/>
          <w:rFonts w:ascii="Verdana" w:hAnsi="Verdana"/>
          <w:b w:val="1"/>
          <w:bCs w:val="1"/>
          <w:sz w:val="18"/>
          <w:szCs w:val="18"/>
          <w:rtl w:val="0"/>
          <w:lang w:val="en-US"/>
        </w:rPr>
        <w:t>About BioCardia</w:t>
      </w:r>
    </w:p>
    <w:p>
      <w:pPr>
        <w:pStyle w:val="Body"/>
        <w:rPr>
          <w:rStyle w:val="Hyperlink.3"/>
          <w:rFonts w:ascii="Verdana" w:cs="Verdana" w:hAnsi="Verdana" w:eastAsia="Verdana"/>
          <w:sz w:val="18"/>
          <w:szCs w:val="18"/>
        </w:rPr>
      </w:pPr>
      <w:r>
        <w:rPr>
          <w:rStyle w:val="Hyperlink.4"/>
          <w:rFonts w:ascii="Verdana" w:cs="Verdana" w:hAnsi="Verdana" w:eastAsia="Verdana"/>
          <w:sz w:val="18"/>
          <w:szCs w:val="18"/>
        </w:rPr>
        <w:fldChar w:fldCharType="begin" w:fldLock="0"/>
      </w:r>
      <w:r>
        <w:rPr>
          <w:rStyle w:val="Hyperlink.4"/>
          <w:rFonts w:ascii="Verdana" w:cs="Verdana" w:hAnsi="Verdana" w:eastAsia="Verdana"/>
          <w:sz w:val="18"/>
          <w:szCs w:val="18"/>
        </w:rPr>
        <w:instrText xml:space="preserve"> HYPERLINK "https://www.biocrdia.com/"</w:instrText>
      </w:r>
      <w:r>
        <w:rPr>
          <w:rStyle w:val="Hyperlink.4"/>
          <w:rFonts w:ascii="Verdana" w:cs="Verdana" w:hAnsi="Verdana" w:eastAsia="Verdana"/>
          <w:sz w:val="18"/>
          <w:szCs w:val="18"/>
        </w:rPr>
        <w:fldChar w:fldCharType="separate" w:fldLock="0"/>
      </w:r>
      <w:r>
        <w:rPr>
          <w:rStyle w:val="Hyperlink.4"/>
          <w:rFonts w:ascii="Verdana" w:hAnsi="Verdana"/>
          <w:sz w:val="18"/>
          <w:szCs w:val="18"/>
          <w:rtl w:val="0"/>
          <w:lang w:val="it-IT"/>
        </w:rPr>
        <w:t>BioCardia, Inc.</w:t>
      </w:r>
      <w:r>
        <w:rPr>
          <w:rFonts w:ascii="Verdana" w:cs="Verdana" w:hAnsi="Verdana" w:eastAsia="Verdana"/>
          <w:sz w:val="18"/>
          <w:szCs w:val="18"/>
        </w:rPr>
        <w:fldChar w:fldCharType="end" w:fldLock="0"/>
      </w:r>
      <w:r>
        <w:rPr>
          <w:rStyle w:val="Hyperlink.3"/>
          <w:rFonts w:ascii="Verdana" w:hAnsi="Verdana"/>
          <w:sz w:val="18"/>
          <w:szCs w:val="18"/>
          <w:rtl w:val="0"/>
          <w:lang w:val="en-US"/>
        </w:rPr>
        <w:t>, headquartered in Sunnyvale, California, is a developer of cell and cell-derived therapies for cardiovascular and pulmonary disease. The Company has two biotherapeutic platforms, CardiAMP</w:t>
      </w:r>
      <w:r>
        <w:rPr>
          <w:rStyle w:val="Hyperlink.3"/>
          <w:rFonts w:ascii="Verdana" w:hAnsi="Verdana" w:hint="default"/>
          <w:sz w:val="18"/>
          <w:szCs w:val="18"/>
          <w:rtl w:val="0"/>
        </w:rPr>
        <w:t> </w:t>
      </w:r>
      <w:r>
        <w:rPr>
          <w:rStyle w:val="Hyperlink.3"/>
          <w:rFonts w:ascii="Verdana" w:hAnsi="Verdana"/>
          <w:sz w:val="18"/>
          <w:szCs w:val="18"/>
          <w:rtl w:val="0"/>
          <w:lang w:val="en-US"/>
        </w:rPr>
        <w:t>autologous bone marrow-derived mononuclear cell therapy for cardiovascular indications and the NK1R+ allogeneic bone marrow-derived mesenchymal stem cell therapies for cardiovascular and pulmonary diseases.</w:t>
      </w:r>
      <w:r>
        <w:rPr>
          <w:rStyle w:val="Hyperlink.3"/>
          <w:rFonts w:ascii="Verdana" w:hAnsi="Verdana" w:hint="default"/>
          <w:sz w:val="18"/>
          <w:szCs w:val="18"/>
          <w:rtl w:val="0"/>
        </w:rPr>
        <w:t> </w:t>
      </w:r>
      <w:r>
        <w:rPr>
          <w:rStyle w:val="Hyperlink.3"/>
          <w:rFonts w:ascii="Verdana" w:hAnsi="Verdana"/>
          <w:sz w:val="18"/>
          <w:szCs w:val="18"/>
          <w:rtl w:val="0"/>
          <w:lang w:val="en-US"/>
        </w:rPr>
        <w:t xml:space="preserve">These platforms underly several clinical-stage product candidates, each with the potential to meaningfully benefit millions of patients. </w:t>
      </w:r>
    </w:p>
    <w:p>
      <w:pPr>
        <w:pStyle w:val="Body"/>
        <w:rPr>
          <w:rStyle w:val="Hyperlink.3"/>
          <w:rFonts w:ascii="Verdana" w:cs="Verdana" w:hAnsi="Verdana" w:eastAsia="Verdana"/>
          <w:sz w:val="18"/>
          <w:szCs w:val="18"/>
        </w:rPr>
      </w:pPr>
      <w:r>
        <w:rPr>
          <w:rStyle w:val="Hyperlink.3"/>
          <w:rFonts w:ascii="Verdana" w:cs="Verdana" w:hAnsi="Verdana" w:eastAsia="Verdana"/>
          <w:sz w:val="18"/>
          <w:szCs w:val="18"/>
        </w:rPr>
        <w:fldChar w:fldCharType="begin" w:fldLock="0"/>
      </w:r>
      <w:r>
        <w:rPr>
          <w:rStyle w:val="Hyperlink.3"/>
          <w:rFonts w:ascii="Verdana" w:cs="Verdana" w:hAnsi="Verdana" w:eastAsia="Verdana"/>
          <w:sz w:val="18"/>
          <w:szCs w:val="18"/>
        </w:rPr>
        <w:instrText xml:space="preserve"> HYPERLINK "https://www.biocardia.com/"</w:instrText>
      </w:r>
      <w:r>
        <w:rPr>
          <w:rStyle w:val="Hyperlink.3"/>
          <w:rFonts w:ascii="Verdana" w:cs="Verdana" w:hAnsi="Verdana" w:eastAsia="Verdana"/>
          <w:sz w:val="18"/>
          <w:szCs w:val="18"/>
        </w:rPr>
        <w:fldChar w:fldCharType="separate" w:fldLock="0"/>
      </w:r>
      <w:r>
        <w:rPr>
          <w:rStyle w:val="Hyperlink.3"/>
          <w:rFonts w:ascii="Verdana" w:hAnsi="Verdana"/>
          <w:sz w:val="18"/>
          <w:szCs w:val="18"/>
          <w:rtl w:val="0"/>
          <w:lang w:val="it-IT"/>
        </w:rPr>
        <w:t>https://www.biocardia.com/</w:t>
      </w:r>
      <w:r>
        <w:rPr>
          <w:rFonts w:ascii="Verdana" w:cs="Verdana" w:hAnsi="Verdana" w:eastAsia="Verdana"/>
          <w:sz w:val="18"/>
          <w:szCs w:val="18"/>
        </w:rPr>
        <w:fldChar w:fldCharType="end" w:fldLock="0"/>
      </w:r>
      <w:r>
        <w:rPr>
          <w:rStyle w:val="Hyperlink.3"/>
          <w:rFonts w:ascii="Verdana" w:hAnsi="Verdana"/>
          <w:sz w:val="18"/>
          <w:szCs w:val="18"/>
          <w:rtl w:val="0"/>
        </w:rPr>
        <w:t xml:space="preserve"> </w:t>
      </w:r>
    </w:p>
    <w:p>
      <w:pPr>
        <w:pStyle w:val="Body"/>
        <w:rPr>
          <w:rStyle w:val="Hyperlink.3"/>
          <w:rFonts w:ascii="Verdana" w:cs="Verdana" w:hAnsi="Verdana" w:eastAsia="Verdana"/>
          <w:sz w:val="18"/>
          <w:szCs w:val="18"/>
        </w:rPr>
      </w:pPr>
    </w:p>
    <w:p>
      <w:pPr>
        <w:pStyle w:val="Body"/>
        <w:rPr>
          <w:rStyle w:val="Hyperlink.3"/>
          <w:rFonts w:ascii="Verdana" w:cs="Verdana" w:hAnsi="Verdana" w:eastAsia="Verdana"/>
          <w:b w:val="1"/>
          <w:bCs w:val="1"/>
          <w:sz w:val="18"/>
          <w:szCs w:val="18"/>
        </w:rPr>
      </w:pPr>
      <w:r>
        <w:rPr>
          <w:rStyle w:val="Hyperlink.3"/>
          <w:rFonts w:ascii="Verdana" w:hAnsi="Verdana"/>
          <w:b w:val="1"/>
          <w:bCs w:val="1"/>
          <w:sz w:val="18"/>
          <w:szCs w:val="18"/>
          <w:rtl w:val="0"/>
          <w:lang w:val="en-US"/>
        </w:rPr>
        <w:t>BioCardia Forward Looking Statements:</w:t>
      </w:r>
    </w:p>
    <w:p>
      <w:pPr>
        <w:pStyle w:val="Body"/>
        <w:rPr>
          <w:rStyle w:val="Hyperlink.3"/>
          <w:rFonts w:ascii="Verdana" w:cs="Verdana" w:hAnsi="Verdana" w:eastAsia="Verdana"/>
          <w:sz w:val="18"/>
          <w:szCs w:val="18"/>
        </w:rPr>
      </w:pPr>
      <w:r>
        <w:rPr>
          <w:rStyle w:val="Hyperlink.3"/>
          <w:rFonts w:ascii="Verdana" w:hAnsi="Verdana"/>
          <w:sz w:val="18"/>
          <w:szCs w:val="18"/>
          <w:rtl w:val="0"/>
          <w:lang w:val="en-US"/>
        </w:rPr>
        <w:t>This press release contains forward-looking statements and that are subject to many risks and uncertainties.</w:t>
      </w:r>
      <w:r>
        <w:rPr>
          <w:rStyle w:val="Hyperlink.3"/>
          <w:rFonts w:ascii="Verdana" w:hAnsi="Verdana" w:hint="default"/>
          <w:sz w:val="18"/>
          <w:szCs w:val="18"/>
          <w:rtl w:val="0"/>
        </w:rPr>
        <w:t xml:space="preserve">  </w:t>
      </w:r>
      <w:r>
        <w:rPr>
          <w:rStyle w:val="Hyperlink.3"/>
          <w:rFonts w:ascii="Verdana" w:hAnsi="Verdana"/>
          <w:sz w:val="18"/>
          <w:szCs w:val="18"/>
          <w:rtl w:val="0"/>
          <w:lang w:val="en-US"/>
        </w:rPr>
        <w:t>Forward looking statements include, among other things, enrollment and completion of clinical studies, performance of delivery systems, success of the collaboration and commercialization and future payments.</w:t>
      </w:r>
      <w:r>
        <w:rPr>
          <w:rStyle w:val="Hyperlink.3"/>
          <w:rFonts w:ascii="Verdana" w:hAnsi="Verdana" w:hint="default"/>
          <w:sz w:val="18"/>
          <w:szCs w:val="18"/>
          <w:rtl w:val="0"/>
        </w:rPr>
        <w:t xml:space="preserve">  </w:t>
      </w:r>
      <w:r>
        <w:rPr>
          <w:rStyle w:val="Hyperlink.3"/>
          <w:rFonts w:ascii="Verdana" w:hAnsi="Verdana"/>
          <w:sz w:val="18"/>
          <w:szCs w:val="18"/>
          <w:rtl w:val="0"/>
          <w:lang w:val="en-US"/>
        </w:rPr>
        <w:t xml:space="preserve">These forward-looking statements are made as of the date of this press release. </w:t>
      </w:r>
    </w:p>
    <w:p>
      <w:pPr>
        <w:pStyle w:val="Body"/>
        <w:rPr>
          <w:rStyle w:val="Hyperlink.3"/>
          <w:rFonts w:ascii="Verdana" w:cs="Verdana" w:hAnsi="Verdana" w:eastAsia="Verdana"/>
          <w:sz w:val="18"/>
          <w:szCs w:val="18"/>
        </w:rPr>
      </w:pPr>
      <w:r>
        <w:rPr>
          <w:rStyle w:val="Hyperlink.3"/>
          <w:rFonts w:ascii="Verdana" w:hAnsi="Verdana"/>
          <w:sz w:val="18"/>
          <w:szCs w:val="18"/>
          <w:rtl w:val="0"/>
          <w:lang w:val="en-US"/>
        </w:rPr>
        <w:t xml:space="preserve">We may use terms such as </w:t>
      </w:r>
      <w:r>
        <w:rPr>
          <w:rStyle w:val="Hyperlink.3"/>
          <w:rFonts w:ascii="Verdana" w:hAnsi="Verdana" w:hint="default"/>
          <w:sz w:val="18"/>
          <w:szCs w:val="18"/>
          <w:rtl w:val="1"/>
          <w:lang w:val="ar-SA" w:bidi="ar-SA"/>
        </w:rPr>
        <w:t>“</w:t>
      </w:r>
      <w:r>
        <w:rPr>
          <w:rStyle w:val="Hyperlink.3"/>
          <w:rFonts w:ascii="Verdana" w:hAnsi="Verdana"/>
          <w:sz w:val="18"/>
          <w:szCs w:val="18"/>
          <w:rtl w:val="0"/>
          <w:lang w:val="en-US"/>
        </w:rPr>
        <w:t>believes,</w:t>
      </w:r>
      <w:r>
        <w:rPr>
          <w:rStyle w:val="Hyperlink.3"/>
          <w:rFonts w:ascii="Verdana" w:hAnsi="Verdana" w:hint="default"/>
          <w:sz w:val="18"/>
          <w:szCs w:val="18"/>
          <w:rtl w:val="0"/>
        </w:rPr>
        <w:t>” “</w:t>
      </w:r>
      <w:r>
        <w:rPr>
          <w:rStyle w:val="Hyperlink.3"/>
          <w:rFonts w:ascii="Verdana" w:hAnsi="Verdana"/>
          <w:sz w:val="18"/>
          <w:szCs w:val="18"/>
          <w:rtl w:val="0"/>
          <w:lang w:val="en-US"/>
        </w:rPr>
        <w:t>estimates,</w:t>
      </w:r>
      <w:r>
        <w:rPr>
          <w:rStyle w:val="Hyperlink.3"/>
          <w:rFonts w:ascii="Verdana" w:hAnsi="Verdana" w:hint="default"/>
          <w:sz w:val="18"/>
          <w:szCs w:val="18"/>
          <w:rtl w:val="0"/>
        </w:rPr>
        <w:t>” “</w:t>
      </w:r>
      <w:r>
        <w:rPr>
          <w:rStyle w:val="Hyperlink.3"/>
          <w:rFonts w:ascii="Verdana" w:hAnsi="Verdana"/>
          <w:sz w:val="18"/>
          <w:szCs w:val="18"/>
          <w:rtl w:val="0"/>
          <w:lang w:val="en-US"/>
        </w:rPr>
        <w:t>anticipates,</w:t>
      </w:r>
      <w:r>
        <w:rPr>
          <w:rStyle w:val="Hyperlink.3"/>
          <w:rFonts w:ascii="Verdana" w:hAnsi="Verdana" w:hint="default"/>
          <w:sz w:val="18"/>
          <w:szCs w:val="18"/>
          <w:rtl w:val="0"/>
        </w:rPr>
        <w:t>” “</w:t>
      </w:r>
      <w:r>
        <w:rPr>
          <w:rStyle w:val="Hyperlink.3"/>
          <w:rFonts w:ascii="Verdana" w:hAnsi="Verdana"/>
          <w:sz w:val="18"/>
          <w:szCs w:val="18"/>
          <w:rtl w:val="0"/>
          <w:lang w:val="en-US"/>
        </w:rPr>
        <w:t>expects,</w:t>
      </w:r>
      <w:r>
        <w:rPr>
          <w:rStyle w:val="Hyperlink.3"/>
          <w:rFonts w:ascii="Verdana" w:hAnsi="Verdana" w:hint="default"/>
          <w:sz w:val="18"/>
          <w:szCs w:val="18"/>
          <w:rtl w:val="0"/>
        </w:rPr>
        <w:t>” “</w:t>
      </w:r>
      <w:r>
        <w:rPr>
          <w:rStyle w:val="Hyperlink.3"/>
          <w:rFonts w:ascii="Verdana" w:hAnsi="Verdana"/>
          <w:sz w:val="18"/>
          <w:szCs w:val="18"/>
          <w:rtl w:val="0"/>
          <w:lang w:val="en-US"/>
        </w:rPr>
        <w:t>plans,</w:t>
      </w:r>
      <w:r>
        <w:rPr>
          <w:rStyle w:val="Hyperlink.3"/>
          <w:rFonts w:ascii="Verdana" w:hAnsi="Verdana" w:hint="default"/>
          <w:sz w:val="18"/>
          <w:szCs w:val="18"/>
          <w:rtl w:val="0"/>
        </w:rPr>
        <w:t>” “</w:t>
      </w:r>
      <w:r>
        <w:rPr>
          <w:rStyle w:val="Hyperlink.3"/>
          <w:rFonts w:ascii="Verdana" w:hAnsi="Verdana"/>
          <w:sz w:val="18"/>
          <w:szCs w:val="18"/>
          <w:rtl w:val="0"/>
          <w:lang w:val="en-US"/>
        </w:rPr>
        <w:t>intends,</w:t>
      </w:r>
      <w:r>
        <w:rPr>
          <w:rStyle w:val="Hyperlink.3"/>
          <w:rFonts w:ascii="Verdana" w:hAnsi="Verdana" w:hint="default"/>
          <w:sz w:val="18"/>
          <w:szCs w:val="18"/>
          <w:rtl w:val="0"/>
        </w:rPr>
        <w:t>” “</w:t>
      </w:r>
      <w:r>
        <w:rPr>
          <w:rStyle w:val="Hyperlink.3"/>
          <w:rFonts w:ascii="Verdana" w:hAnsi="Verdana"/>
          <w:sz w:val="18"/>
          <w:szCs w:val="18"/>
          <w:rtl w:val="0"/>
          <w:lang w:val="en-US"/>
        </w:rPr>
        <w:t>may,</w:t>
      </w:r>
      <w:r>
        <w:rPr>
          <w:rStyle w:val="Hyperlink.3"/>
          <w:rFonts w:ascii="Verdana" w:hAnsi="Verdana" w:hint="default"/>
          <w:sz w:val="18"/>
          <w:szCs w:val="18"/>
          <w:rtl w:val="0"/>
        </w:rPr>
        <w:t>” “</w:t>
      </w:r>
      <w:r>
        <w:rPr>
          <w:rStyle w:val="Hyperlink.3"/>
          <w:rFonts w:ascii="Verdana" w:hAnsi="Verdana"/>
          <w:sz w:val="18"/>
          <w:szCs w:val="18"/>
          <w:rtl w:val="0"/>
          <w:lang w:val="en-US"/>
        </w:rPr>
        <w:t>could,</w:t>
      </w:r>
      <w:r>
        <w:rPr>
          <w:rStyle w:val="Hyperlink.3"/>
          <w:rFonts w:ascii="Verdana" w:hAnsi="Verdana" w:hint="default"/>
          <w:sz w:val="18"/>
          <w:szCs w:val="18"/>
          <w:rtl w:val="0"/>
        </w:rPr>
        <w:t>” “</w:t>
      </w:r>
      <w:r>
        <w:rPr>
          <w:rStyle w:val="Hyperlink.3"/>
          <w:rFonts w:ascii="Verdana" w:hAnsi="Verdana"/>
          <w:sz w:val="18"/>
          <w:szCs w:val="18"/>
          <w:rtl w:val="0"/>
          <w:lang w:val="en-US"/>
        </w:rPr>
        <w:t>might,</w:t>
      </w:r>
      <w:r>
        <w:rPr>
          <w:rStyle w:val="Hyperlink.3"/>
          <w:rFonts w:ascii="Verdana" w:hAnsi="Verdana" w:hint="default"/>
          <w:sz w:val="18"/>
          <w:szCs w:val="18"/>
          <w:rtl w:val="0"/>
        </w:rPr>
        <w:t>” “</w:t>
      </w:r>
      <w:r>
        <w:rPr>
          <w:rStyle w:val="Hyperlink.3"/>
          <w:rFonts w:ascii="Verdana" w:hAnsi="Verdana"/>
          <w:sz w:val="18"/>
          <w:szCs w:val="18"/>
          <w:rtl w:val="0"/>
          <w:lang w:val="de-DE"/>
        </w:rPr>
        <w:t>will,</w:t>
      </w:r>
      <w:r>
        <w:rPr>
          <w:rStyle w:val="Hyperlink.3"/>
          <w:rFonts w:ascii="Verdana" w:hAnsi="Verdana" w:hint="default"/>
          <w:sz w:val="18"/>
          <w:szCs w:val="18"/>
          <w:rtl w:val="0"/>
        </w:rPr>
        <w:t>” “</w:t>
      </w:r>
      <w:r>
        <w:rPr>
          <w:rStyle w:val="Hyperlink.3"/>
          <w:rFonts w:ascii="Verdana" w:hAnsi="Verdana"/>
          <w:sz w:val="18"/>
          <w:szCs w:val="18"/>
          <w:rtl w:val="0"/>
          <w:lang w:val="en-US"/>
        </w:rPr>
        <w:t>should,</w:t>
      </w:r>
      <w:r>
        <w:rPr>
          <w:rStyle w:val="Hyperlink.3"/>
          <w:rFonts w:ascii="Verdana" w:hAnsi="Verdana" w:hint="default"/>
          <w:sz w:val="18"/>
          <w:szCs w:val="18"/>
          <w:rtl w:val="0"/>
        </w:rPr>
        <w:t>” “</w:t>
      </w:r>
      <w:r>
        <w:rPr>
          <w:rStyle w:val="Hyperlink.3"/>
          <w:rFonts w:ascii="Verdana" w:hAnsi="Verdana"/>
          <w:sz w:val="18"/>
          <w:szCs w:val="18"/>
          <w:rtl w:val="0"/>
          <w:lang w:val="en-US"/>
        </w:rPr>
        <w:t>approximately</w:t>
      </w:r>
      <w:r>
        <w:rPr>
          <w:rStyle w:val="Hyperlink.3"/>
          <w:rFonts w:ascii="Verdana" w:hAnsi="Verdana" w:hint="default"/>
          <w:sz w:val="18"/>
          <w:szCs w:val="18"/>
          <w:rtl w:val="0"/>
        </w:rPr>
        <w:t xml:space="preserve">” </w:t>
      </w:r>
      <w:r>
        <w:rPr>
          <w:rStyle w:val="Hyperlink.3"/>
          <w:rFonts w:ascii="Verdana" w:hAnsi="Verdana"/>
          <w:sz w:val="18"/>
          <w:szCs w:val="18"/>
          <w:rtl w:val="0"/>
          <w:lang w:val="en-US"/>
        </w:rPr>
        <w:t>or other words that convey the uncertainty of future events or outcomes to identify these forward-looking statements. Although we believe that we have a reasonable basis for each forward-looking statement contained herein, we caution you that forward-looking statements are not guarantees of future performance and that our actual results may differ materially from the forward-looking statements contained in this press release. As a result of the factors, we cannot assure you that the forward-looking statements in this press release will prove to be accurate.</w:t>
      </w:r>
      <w:r>
        <w:rPr>
          <w:rStyle w:val="Hyperlink.3"/>
          <w:rFonts w:ascii="Verdana" w:hAnsi="Verdana" w:hint="default"/>
          <w:sz w:val="18"/>
          <w:szCs w:val="18"/>
          <w:rtl w:val="0"/>
        </w:rPr>
        <w:t xml:space="preserve">  </w:t>
      </w:r>
      <w:r>
        <w:rPr>
          <w:rStyle w:val="Hyperlink.3"/>
          <w:rFonts w:ascii="Verdana" w:hAnsi="Verdana"/>
          <w:sz w:val="18"/>
          <w:szCs w:val="18"/>
          <w:rtl w:val="0"/>
          <w:lang w:val="en-US"/>
        </w:rPr>
        <w:t>Additional factors that could materially affect actual results can be found in BioCardia</w:t>
      </w:r>
      <w:r>
        <w:rPr>
          <w:rStyle w:val="Hyperlink.3"/>
          <w:rFonts w:ascii="Verdana" w:hAnsi="Verdana" w:hint="default"/>
          <w:sz w:val="18"/>
          <w:szCs w:val="18"/>
          <w:rtl w:val="1"/>
        </w:rPr>
        <w:t>’</w:t>
      </w:r>
      <w:r>
        <w:rPr>
          <w:rStyle w:val="Hyperlink.3"/>
          <w:rFonts w:ascii="Verdana" w:hAnsi="Verdana"/>
          <w:sz w:val="18"/>
          <w:szCs w:val="18"/>
          <w:rtl w:val="0"/>
          <w:lang w:val="en-US"/>
        </w:rPr>
        <w:t xml:space="preserve">s Form 10-K filed with the Securities and Exchange Commission on March 29, 2022, under the caption titled </w:t>
      </w:r>
      <w:r>
        <w:rPr>
          <w:rStyle w:val="Hyperlink.3"/>
          <w:rFonts w:ascii="Verdana" w:hAnsi="Verdana" w:hint="default"/>
          <w:sz w:val="18"/>
          <w:szCs w:val="18"/>
          <w:rtl w:val="1"/>
          <w:lang w:val="ar-SA" w:bidi="ar-SA"/>
        </w:rPr>
        <w:t>“</w:t>
      </w:r>
      <w:r>
        <w:rPr>
          <w:rStyle w:val="Hyperlink.3"/>
          <w:rFonts w:ascii="Verdana" w:hAnsi="Verdana"/>
          <w:sz w:val="18"/>
          <w:szCs w:val="18"/>
          <w:rtl w:val="0"/>
          <w:lang w:val="da-DK"/>
        </w:rPr>
        <w:t>Risk Factors.</w:t>
      </w:r>
      <w:r>
        <w:rPr>
          <w:rStyle w:val="Hyperlink.3"/>
          <w:rFonts w:ascii="Verdana" w:hAnsi="Verdana" w:hint="default"/>
          <w:sz w:val="18"/>
          <w:szCs w:val="18"/>
          <w:rtl w:val="0"/>
        </w:rPr>
        <w:t xml:space="preserve">” </w:t>
      </w:r>
      <w:r>
        <w:rPr>
          <w:rStyle w:val="Hyperlink.3"/>
          <w:rFonts w:ascii="Verdana" w:hAnsi="Verdana"/>
          <w:sz w:val="18"/>
          <w:szCs w:val="18"/>
          <w:rtl w:val="0"/>
          <w:lang w:val="en-US"/>
        </w:rPr>
        <w:t xml:space="preserve">BioCardia expressly disclaims any intent or obligation to update these forward-looking statements, except as required by law. </w:t>
      </w:r>
    </w:p>
    <w:p>
      <w:pPr>
        <w:pStyle w:val="Body"/>
        <w:rPr>
          <w:rStyle w:val="Hyperlink.3"/>
          <w:rFonts w:ascii="Verdana" w:cs="Verdana" w:hAnsi="Verdana" w:eastAsia="Verdana"/>
          <w:sz w:val="18"/>
          <w:szCs w:val="18"/>
        </w:rPr>
      </w:pPr>
    </w:p>
    <w:p>
      <w:pPr>
        <w:pStyle w:val="Body"/>
        <w:rPr>
          <w:rStyle w:val="Hyperlink.3"/>
          <w:rFonts w:ascii="Verdana" w:cs="Verdana" w:hAnsi="Verdana" w:eastAsia="Verdana"/>
          <w:sz w:val="18"/>
          <w:szCs w:val="18"/>
        </w:rPr>
      </w:pPr>
    </w:p>
    <w:p>
      <w:pPr>
        <w:pStyle w:val="Body"/>
      </w:pPr>
      <w:r>
        <w:rPr>
          <w:rStyle w:val="Hyperlink.3"/>
          <w:rFonts w:ascii="Verdana" w:cs="Verdana" w:hAnsi="Verdana" w:eastAsia="Verdana"/>
          <w:sz w:val="18"/>
          <w:szCs w:val="18"/>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b w:val="1"/>
      <w:bCs w:val="1"/>
      <w:outline w:val="0"/>
      <w:color w:val="0563c0"/>
      <w:u w:val="single" w:color="0563c0"/>
      <w:shd w:val="clear" w:color="auto" w:fill="ffffff"/>
      <w14:textFill>
        <w14:solidFill>
          <w14:srgbClr w14:val="0563C1"/>
        </w14:solidFill>
      </w14:textFill>
    </w:rPr>
  </w:style>
  <w:style w:type="character" w:styleId="Hyperlink.2">
    <w:name w:val="Hyperlink.2"/>
    <w:basedOn w:val="None"/>
    <w:next w:val="Hyperlink.2"/>
    <w:rPr>
      <w:outline w:val="0"/>
      <w:color w:val="0563c0"/>
      <w:u w:val="single" w:color="0563c0"/>
      <w14:textFill>
        <w14:solidFill>
          <w14:srgbClr w14:val="0563C1"/>
        </w14:solidFill>
      </w14:textFill>
    </w:rPr>
  </w:style>
  <w:style w:type="character" w:styleId="Hyperlink.3">
    <w:name w:val="Hyperlink.3"/>
    <w:basedOn w:val="None"/>
    <w:next w:val="Hyperlink.3"/>
    <w:rPr>
      <w:shd w:val="clear" w:color="auto" w:fill="ffffff"/>
    </w:rPr>
  </w:style>
  <w:style w:type="character" w:styleId="Hyperlink.4">
    <w:name w:val="Hyperlink.4"/>
    <w:basedOn w:val="None"/>
    <w:next w:val="Hyperlink.4"/>
    <w:rPr>
      <w:outline w:val="0"/>
      <w:color w:val="0563c0"/>
      <w:u w:val="single" w:color="0563c0"/>
      <w:shd w:val="clear" w:color="auto" w:fill="ffffff"/>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