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67d9"/>
          <w:rtl w:val="0"/>
          <w14:textFill>
            <w14:solidFill>
              <w14:srgbClr w14:val="292929"/>
            </w14:solidFill>
          </w14:textFill>
        </w:rPr>
      </w:pP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rtl w:val="0"/>
          <w14:textFill>
            <w14:solidFill>
              <w14:srgbClr w14:val="292929"/>
            </w14:solidFill>
          </w14:textFill>
        </w:rPr>
        <w:instrText xml:space="preserve"> HYPERLINK "mailto:greenbiotech@ibcomms.agency?subject=Green%20Elephant%20Biotech"</w:instrText>
      </w: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separate" w:fldLock="0"/>
      </w:r>
      <w:r>
        <w:rPr>
          <w:rStyle w:val="Hyperlink.0"/>
          <w:rFonts w:ascii="Verdana" w:hAnsi="Verdana"/>
          <w:outline w:val="0"/>
          <w:color w:val="282828"/>
          <w:sz w:val="18"/>
          <w:szCs w:val="18"/>
          <w:u w:color="0067d9"/>
          <w:rtl w:val="0"/>
          <w:lang w:val="en-US"/>
          <w14:textFill>
            <w14:solidFill>
              <w14:srgbClr w14:val="292929"/>
            </w14:solidFill>
          </w14:textFill>
        </w:rPr>
        <w:t>greenbiotech@ibcomms.agency</w:t>
      </w:r>
      <w:r>
        <w:rPr>
          <w:rFonts w:ascii="Verdana" w:cs="Verdana" w:hAnsi="Verdana" w:eastAsia="Verdana"/>
          <w:outline w:val="0"/>
          <w:color w:val="282828"/>
          <w:sz w:val="18"/>
          <w:szCs w:val="18"/>
          <w:u w:color="0067d9"/>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Green Elephant Biotech launches the world's first plant-based 96-well plate, for laboratory sustainability</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Green Elephant Biotech</w:t>
      </w:r>
      <w:r>
        <w:rPr>
          <w:rFonts w:ascii="Verdana" w:hAnsi="Verdana" w:hint="default"/>
          <w:b w:val="1"/>
          <w:bCs w:val="1"/>
          <w:outline w:val="0"/>
          <w:color w:val="282828"/>
          <w:sz w:val="18"/>
          <w:szCs w:val="18"/>
          <w:rtl w:val="1"/>
          <w14:textFill>
            <w14:solidFill>
              <w14:srgbClr w14:val="292929"/>
            </w14:solidFill>
          </w14:textFill>
        </w:rPr>
        <w:t>’</w:t>
      </w:r>
      <w:r>
        <w:rPr>
          <w:rFonts w:ascii="Verdana" w:hAnsi="Verdana"/>
          <w:b w:val="1"/>
          <w:bCs w:val="1"/>
          <w:outline w:val="0"/>
          <w:color w:val="282828"/>
          <w:sz w:val="18"/>
          <w:szCs w:val="18"/>
          <w:rtl w:val="0"/>
          <w:lang w:val="en-US"/>
          <w14:textFill>
            <w14:solidFill>
              <w14:srgbClr w14:val="292929"/>
            </w14:solidFill>
          </w14:textFill>
        </w:rPr>
        <w:t>s 96-well plate made from plant-based plastics offers a sustainable alternative for one of the most commonly used disposable products in laboratories</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The lifecycle of this 96-well plate generates half the CO2 emissions of conventional plates, achieved through the use of plastic made from corn starch</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Berlin, Germany, January 31, 2024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UbtWP9mxrAkz4-2Bt4ix9ULC4waISjAJ1JnFu7-2FtrJTKCKrEDAmmlzenWIWJYCnT4j9aGl_0v1WfzW3RyCyUmxOPcTd72nhp2tUCWdxq-2BDfwFXst-2F2aCPEFEoG1XfVfIkfPiSy0mEjkyHBzVnFoAkbS-2F5layEkfooD9EQT9p19zyj6kYLI4uX87YPzq-2BLDIwAQgBQiqErSkPTe9w8EH5KXbjlny2sudQM5zUjjNH-2FcvIVinDG-2BWUvIYUv4mCZDxDjKZbw8-2F-2B-2FQEGN2nDGESH79yQ8-2Ba7lJG3X8uugSZa-2Fmw1GWXvZIsMT-2FTrANFCD3dM-2B2lgUG-2FTMNPCWXTNuBt5v-2Fty4oMmwimgmkkHu97-2FGhsuuldd2fa-2BAXBmOUUez5-2BhNE3AA-2F-2BA1yb9BxSWsPkj3dBtYmbR3M62yVBOyJkAy3VVpcd7n-2Fs7X8m6GMTuBTtEzd3-2BdaeGWWCg9pEZsUofNpQU0-2BTcFNXFYn0eEWM-2BZ20Nc0yOm9phxStYOBZJ-2BueVqalUSq7D6WVGEIkRDzNb3CHZ-2BPxJQ-3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Green Elephant Biotech GmbH</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the world's first company to develop, manufacture and sell consumables for laboratories made from plant-based plastics, today announces the commercial launch of the first-of-its-kind plant-based Green Elephant 96-Well Plate. For the first time, laboratory staff can conduct research, diagnoses and analysis more sustainably without compromising quality, all while meeting safety and purity standards. The plate is designed to replace single-use, fossil fuel-based plastic plates.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Single-use products are of growing importance to laboratories, where standardization is important for ease-of-use and controlling costs. However, sustainability is a growing issue, as every year labs contribute 5.5 million tons of plastic waste.</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Green Elephant 96-Well Plate is made entirely from sustainable polylactic acid (PLA), a plastic derived from corn starch, in a less energy-intensive production process than the manufacture of traditional polystyrene plastic plates. Following disposal, it produces CO2 emissions equal to what was initially absorbed by the corn plants from the atmosphere. Over its entire lifecycle, the Green Elephant 96-well plate has a 50 percent lower carbon footprint than its fossil-based counterparts, while remaining just as suitable for use in the laboratory.</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de-DE"/>
          <w14:textFill>
            <w14:solidFill>
              <w14:srgbClr w14:val="292929"/>
            </w14:solidFill>
          </w14:textFill>
        </w:rPr>
        <w:t>We</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re proud to be the world</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first company to produce disposable la</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boratory materials from PLA using injection molding,</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says co-founder and co-managing director Joel Eichmann, Dr. rer. nat.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Making the first product that meets the high technical standards of lab consumables was full of challenges, such as ensuring high transparency for optical applications. However, testing has shown our plates to be competitive with traditional plastics in this respect, proving quality does not need to sacrifice of sustainability."</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"This is a watershed moment for sustainable laboratories, and for anyone who has ever been distressed by the pipette tips, gloves and microplates piled in the garbage can at the end of each day," adds co-founder and co-managing director Felix Wollenhaupt. "96-well plates are a standard disposable product used in almost every laboratory, suitable for a wide range of tests. We can now offer many laboratories a more sustainable alternative for daily use."</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Green Elephant Biotech</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96-well plate is now available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UbtWP9mxrAkz4-2Bt4ix9ULC4waISjAJ1JnFu7-2FtrJTKCiUkRAtnyFM09-2Bgs7ehqqLynrlknihwxUuabAKw5K6D1qgh-2BmZkWZ2-2B9ZB7bGPd0E-3DhVmb_0v1WfzW3RyCyUmxOPcTd72nhp2tUCWdxq-2BDfwFXst-2F2aCPEFEoG1XfVfIkfPiSy0mEjkyHBzVnFoAkbS-2F5layEkfooD9EQT9p19zyj6kYLI4uX87YPzq-2BLDIwAQgBQiqErSkPTe9w8EH5KXbjlny2sudQM5zUjjNH-2FcvIVinDG-2BWUvIYUv4mCZDxDjKZbw8-2F-2B-2FQEGN2nDGESH79yQ8-2Ba7lJG3X8uugSZa-2Fmw1GWXvZIsMT-2FTrANFCD3dM-2B2lgUG-2FTMNPCWXTNuBt5v-2Fty4oMm9CTfooNLVG-2FTk72-2FEtqSdL8XhHz7Nc9UKyViKTsS-2BzalFQx5DPT3NgUhk0PYKz1vbAU62QOwI-2BxDXC3yhBZmLD6-2F9q6wep6TL0OyQIaC53Tfm3f5bu59jAu61jxICtvyfeAtbMUtVwc3gr-2BXl9ctCb1mI0DuGnR6rqoQE9m3gRqxEI9qpRkTMKWsiwPIYUXaw-3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pt-PT"/>
          <w14:textFill>
            <w14:solidFill>
              <w14:srgbClr w14:val="292929"/>
            </w14:solidFill>
          </w14:textFill>
        </w:rPr>
        <w:t>online</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and via distributors in transparent, unsterilized, flat bottom form. Further variants are to follow.</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Green Elephant Biotech</w:t>
      </w:r>
    </w:p>
    <w:p>
      <w:pPr>
        <w:pStyle w:val="Table Style 2"/>
        <w:bidi w:val="0"/>
        <w:ind w:left="0" w:right="0" w:firstLine="0"/>
        <w:jc w:val="both"/>
        <w:rPr>
          <w:rtl w:val="0"/>
        </w:rPr>
      </w:pPr>
      <w:r>
        <w:rPr>
          <w:rFonts w:ascii="Verdana" w:hAnsi="Verdana"/>
          <w:outline w:val="0"/>
          <w:color w:val="282828"/>
          <w:sz w:val="18"/>
          <w:szCs w:val="18"/>
          <w:rtl w:val="0"/>
          <w:lang w:val="en-US"/>
          <w14:textFill>
            <w14:solidFill>
              <w14:srgbClr w14:val="292929"/>
            </w14:solidFill>
          </w14:textFill>
        </w:rPr>
        <w:t>Green Elephant Biotech GmbH is the world's first company to develop, manufacture and sell consumables for laboratories made from plant-based plastics. The company's innovative and sustainable products enable its customers to develop and deliver new, life-changing therapies to patients. The space-efficient technology of the innovative CellScrew(R) cell culture system helps to solve the biopharmaceutical industry's limited production capacity and empowers sustainable and efficient production of cells used for cell and gene therapeutics and cultured foods. Green Elephant Biotech was founded by Felix Wollenhaupt and Dr. Joel Eichmann as a spin-off of the Technical University of Central Hesse and currently employs 14 people in Berlin and Gie</w:t>
      </w:r>
      <w:r>
        <w:rPr>
          <w:rFonts w:ascii="Verdana" w:hAnsi="Verdana" w:hint="default"/>
          <w:outline w:val="0"/>
          <w:color w:val="282828"/>
          <w:sz w:val="18"/>
          <w:szCs w:val="18"/>
          <w:rtl w:val="0"/>
          <w:lang w:val="de-DE"/>
          <w14:textFill>
            <w14:solidFill>
              <w14:srgbClr w14:val="292929"/>
            </w14:solidFill>
          </w14:textFill>
        </w:rPr>
        <w:t>ß</w:t>
      </w:r>
      <w:r>
        <w:rPr>
          <w:rFonts w:ascii="Verdana" w:hAnsi="Verdana"/>
          <w:outline w:val="0"/>
          <w:color w:val="282828"/>
          <w:sz w:val="18"/>
          <w:szCs w:val="18"/>
          <w:rtl w:val="0"/>
          <w:lang w:val="en-US"/>
          <w14:textFill>
            <w14:solidFill>
              <w14:srgbClr w14:val="292929"/>
            </w14:solidFill>
          </w14:textFill>
        </w:rPr>
        <w:t xml:space="preserve">en. For more information, visit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VenDB-2FVhmdAYV7ZxabdcyfaAeIAwbcSeUWgn-2BH2nffLmsSc_0v1WfzW3RyCyUmxOPcTd72nhp2tUCWdxq-2BDfwFXst-2F2aCPEFEoG1XfVfIkfPiSy0mEjkyHBzVnFoAkbS-2F5layEkfooD9EQT9p19zyj6kYLI4uX87YPzq-2BLDIwAQgBQiqErSkPTe9w8EH5KXbjlny2sudQM5zUjjNH-2FcvIVinDG-2BWUvIYUv4mCZDxDjKZbw8-2F-2B-2FQEGN2nDGESH79yQ8-2Ba7lJG3X8uugSZa-2Fmw1GWXvZIsMT-2FTrANFCD3dM-2B2lgUG-2FTMNPCWXTNuBt5v-2Fty4oMm-2BRcSK31mWQssP4Eoj7QlJx8cKkVZDCxuEq9dxLEeW-2FZrpXP-2B-2B17sj2rq8msWm375CfNjOpmw9-2FlbXDLl1o8jSZZqo-2BS4J1khwXAD5MYansUyYfJ0UuyP7M3-2F48YrkPyig18kTN8lZyFQJgFQRxQI1NqpD99L8gYoZBim0YUVpq4WJtW5RGcr5jibbKruPOW-2BQ-3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14:textFill>
            <w14:solidFill>
              <w14:srgbClr w14:val="292929"/>
            </w14:solidFill>
          </w14:textFill>
        </w:rPr>
        <w:t>www.greenelephantbiotech.com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7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9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