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right"/>
        <w:rPr>
          <w:rStyle w:val="None"/>
          <w:rFonts w:ascii="Verdana" w:cs="Verdana" w:hAnsi="Verdana" w:eastAsia="Verdana"/>
          <w:b w:val="1"/>
          <w:bCs w:val="1"/>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Press Release</w:t>
      </w:r>
      <w:r>
        <w:rPr>
          <w:rFonts w:ascii="Verdana" w:cs="Verdana" w:hAnsi="Verdana" w:eastAsia="Verdana"/>
          <w:outline w:val="0"/>
          <w:color w:val="131317"/>
          <w:sz w:val="18"/>
          <w:szCs w:val="18"/>
          <w:shd w:val="clear" w:color="auto" w:fill="ffffff"/>
          <w14:textFill>
            <w14:solidFill>
              <w14:srgbClr w14:val="131317"/>
            </w14:solidFill>
          </w14:textFill>
        </w:rPr>
        <w:br w:type="textWrapping"/>
      </w:r>
      <w:r>
        <w:rPr>
          <w:rFonts w:ascii="Verdana" w:hAnsi="Verdana"/>
          <w:b w:val="1"/>
          <w:bCs w:val="1"/>
          <w:outline w:val="0"/>
          <w:color w:val="131317"/>
          <w:sz w:val="18"/>
          <w:szCs w:val="18"/>
          <w:shd w:val="clear" w:color="auto" w:fill="ffffff"/>
          <w:rtl w:val="0"/>
          <w14:textFill>
            <w14:solidFill>
              <w14:srgbClr w14:val="131317"/>
            </w14:solidFill>
          </w14:textFill>
        </w:rPr>
        <w:t>Media Contact:</w:t>
      </w:r>
      <w:r>
        <w:rPr>
          <w:rFonts w:ascii="Verdana" w:cs="Verdana" w:hAnsi="Verdana" w:eastAsia="Verdana"/>
          <w:outline w:val="0"/>
          <w:color w:val="131317"/>
          <w:sz w:val="18"/>
          <w:szCs w:val="18"/>
          <w:shd w:val="clear" w:color="auto" w:fill="ffffff"/>
          <w14:textFill>
            <w14:solidFill>
              <w14:srgbClr w14:val="131317"/>
            </w14:solidFill>
          </w14:textFill>
        </w:rPr>
        <w:br w:type="textWrapping"/>
      </w:r>
      <w:r>
        <w:rPr>
          <w:rFonts w:ascii="Verdana" w:hAnsi="Verdana"/>
          <w:b w:val="1"/>
          <w:bCs w:val="1"/>
          <w:outline w:val="0"/>
          <w:color w:val="131317"/>
          <w:sz w:val="18"/>
          <w:szCs w:val="18"/>
          <w:shd w:val="clear" w:color="auto" w:fill="ffffff"/>
          <w:rtl w:val="0"/>
          <w:lang w:val="fr-FR"/>
          <w14:textFill>
            <w14:solidFill>
              <w14:srgbClr w14:val="131317"/>
            </w14:solidFill>
          </w14:textFill>
        </w:rPr>
        <w:t>IB Communications</w:t>
      </w:r>
      <w:r>
        <w:rPr>
          <w:rFonts w:ascii="Verdana" w:cs="Verdana" w:hAnsi="Verdana" w:eastAsia="Verdana"/>
          <w:outline w:val="0"/>
          <w:color w:val="131317"/>
          <w:sz w:val="18"/>
          <w:szCs w:val="18"/>
          <w:shd w:val="clear" w:color="auto" w:fill="ffffff"/>
          <w14:textFill>
            <w14:solidFill>
              <w14:srgbClr w14:val="131317"/>
            </w14:solidFill>
          </w14:textFill>
        </w:rPr>
        <w:br w:type="textWrapping"/>
      </w:r>
      <w:r>
        <w:rPr>
          <w:rStyle w:val="Hyperlink.0"/>
          <w:rFonts w:ascii="Verdana" w:cs="Verdana" w:hAnsi="Verdana" w:eastAsia="Verdana"/>
          <w:outline w:val="0"/>
          <w:color w:val="131317"/>
          <w:sz w:val="18"/>
          <w:szCs w:val="18"/>
          <w:shd w:val="clear" w:color="auto" w:fill="ffffff"/>
          <w14:textFill>
            <w14:solidFill>
              <w14:srgbClr w14:val="131317"/>
            </w14:solidFill>
          </w14:textFill>
        </w:rPr>
        <w:fldChar w:fldCharType="begin" w:fldLock="0"/>
      </w:r>
      <w:r>
        <w:rPr>
          <w:rStyle w:val="Hyperlink.0"/>
          <w:rFonts w:ascii="Verdana" w:cs="Verdana" w:hAnsi="Verdana" w:eastAsia="Verdana"/>
          <w:outline w:val="0"/>
          <w:color w:val="131317"/>
          <w:sz w:val="18"/>
          <w:szCs w:val="18"/>
          <w:shd w:val="clear" w:color="auto" w:fill="ffffff"/>
          <w14:textFill>
            <w14:solidFill>
              <w14:srgbClr w14:val="131317"/>
            </w14:solidFill>
          </w14:textFill>
        </w:rPr>
        <w:instrText xml:space="preserve"> HYPERLINK "mailto:exmoor@ibcomms.agency"</w:instrText>
      </w:r>
      <w:r>
        <w:rPr>
          <w:rStyle w:val="Hyperlink.0"/>
          <w:rFonts w:ascii="Verdana" w:cs="Verdana" w:hAnsi="Verdana" w:eastAsia="Verdana"/>
          <w:outline w:val="0"/>
          <w:color w:val="131317"/>
          <w:sz w:val="18"/>
          <w:szCs w:val="18"/>
          <w:shd w:val="clear" w:color="auto" w:fill="ffffff"/>
          <w14:textFill>
            <w14:solidFill>
              <w14:srgbClr w14:val="131317"/>
            </w14:solidFill>
          </w14:textFill>
        </w:rPr>
        <w:fldChar w:fldCharType="separate" w:fldLock="0"/>
      </w:r>
      <w:r>
        <w:rPr>
          <w:rStyle w:val="Hyperlink.0"/>
          <w:rFonts w:ascii="Verdana" w:hAnsi="Verdana"/>
          <w:outline w:val="0"/>
          <w:color w:val="131317"/>
          <w:sz w:val="18"/>
          <w:szCs w:val="18"/>
          <w:shd w:val="clear" w:color="auto" w:fill="ffffff"/>
          <w:rtl w:val="0"/>
          <w:lang w:val="en-US"/>
          <w14:textFill>
            <w14:solidFill>
              <w14:srgbClr w14:val="131317"/>
            </w14:solidFill>
          </w14:textFill>
        </w:rPr>
        <w:t>exmoor@ibcomms.agency</w:t>
      </w:r>
      <w:r>
        <w:rPr>
          <w:rFonts w:ascii="Verdana" w:cs="Verdana" w:hAnsi="Verdana" w:eastAsia="Verdana"/>
          <w:outline w:val="0"/>
          <w:color w:val="131317"/>
          <w:sz w:val="18"/>
          <w:szCs w:val="18"/>
          <w:shd w:val="clear" w:color="auto" w:fill="ffffff"/>
          <w14:textFill>
            <w14:solidFill>
              <w14:srgbClr w14:val="131317"/>
            </w14:solidFill>
          </w14:textFill>
        </w:rPr>
        <w:fldChar w:fldCharType="end" w:fldLock="0"/>
      </w:r>
    </w:p>
    <w:p>
      <w:pPr>
        <w:pStyle w:val="Default"/>
        <w:suppressAutoHyphens w:val="1"/>
        <w:spacing w:before="0" w:line="240" w:lineRule="auto"/>
        <w:jc w:val="right"/>
        <w:rPr>
          <w:rStyle w:val="None"/>
          <w:rFonts w:ascii="Verdana" w:cs="Verdana" w:hAnsi="Verdana" w:eastAsia="Verdana"/>
          <w:b w:val="1"/>
          <w:bCs w:val="1"/>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right"/>
        <w:rPr>
          <w:rStyle w:val="None"/>
          <w:rFonts w:ascii="Verdana" w:cs="Verdana" w:hAnsi="Verdana" w:eastAsia="Verdana"/>
          <w:b w:val="1"/>
          <w:bCs w:val="1"/>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right"/>
        <w:rPr>
          <w:rStyle w:val="None"/>
          <w:rFonts w:ascii="Verdana" w:cs="Verdana" w:hAnsi="Verdana" w:eastAsia="Verdana"/>
          <w:b w:val="1"/>
          <w:bCs w:val="1"/>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right"/>
        <w:rPr>
          <w:rStyle w:val="None"/>
          <w:rFonts w:ascii="Verdana" w:cs="Verdana" w:hAnsi="Verdana" w:eastAsia="Verdana"/>
          <w:b w:val="1"/>
          <w:bCs w:val="1"/>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right"/>
        <w:rPr>
          <w:rStyle w:val="None"/>
          <w:rFonts w:ascii="Verdana" w:cs="Verdana" w:hAnsi="Verdana" w:eastAsia="Verdana"/>
          <w:b w:val="1"/>
          <w:bCs w:val="1"/>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right"/>
        <w:rPr>
          <w:rStyle w:val="None"/>
          <w:rFonts w:ascii="Verdana" w:cs="Verdana" w:hAnsi="Verdana" w:eastAsia="Verdana"/>
          <w:b w:val="1"/>
          <w:bCs w:val="1"/>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left"/>
      </w:pPr>
      <w:r>
        <w:rPr>
          <w:rStyle w:val="Hyperlink.0"/>
          <w:rFonts w:ascii="Verdana" w:hAnsi="Verdana"/>
          <w:outline w:val="0"/>
          <w:color w:val="131317"/>
          <w:sz w:val="18"/>
          <w:szCs w:val="18"/>
          <w:shd w:val="clear" w:color="auto" w:fill="ffffff"/>
          <w:rtl w:val="0"/>
          <w:lang w:val="en-US"/>
          <w14:textFill>
            <w14:solidFill>
              <w14:srgbClr w14:val="131317"/>
            </w14:solidFill>
          </w14:textFill>
        </w:rPr>
        <w:t>eXmoor Pharma and Evox Therapeutics complete technology transfer programme for exosome-enabled gene editing technology</w:t>
      </w:r>
      <w:r>
        <w:rPr>
          <w:rStyle w:val="None"/>
          <w:rFonts w:ascii="Verdana" w:cs="Verdana" w:hAnsi="Verdana" w:eastAsia="Verdana"/>
          <w:outline w:val="0"/>
          <w:color w:val="131317"/>
          <w:sz w:val="18"/>
          <w:szCs w:val="18"/>
          <w:shd w:val="clear" w:color="auto" w:fill="ffffff"/>
          <w:rtl w:val="0"/>
          <w14:textFill>
            <w14:solidFill>
              <w14:srgbClr w14:val="131317"/>
            </w14:solidFill>
          </w14:textFill>
        </w:rPr>
        <w:br w:type="textWrapping"/>
        <w:t> </w:t>
        <w:br w:type="textWrapping"/>
      </w:r>
      <w:r>
        <w:rPr>
          <w:rStyle w:val="Hyperlink.0"/>
          <w:rFonts w:ascii="Verdana" w:hAnsi="Verdana"/>
          <w:outline w:val="0"/>
          <w:color w:val="131317"/>
          <w:sz w:val="18"/>
          <w:szCs w:val="18"/>
          <w:shd w:val="clear" w:color="auto" w:fill="ffffff"/>
          <w:rtl w:val="0"/>
          <w14:textFill>
            <w14:solidFill>
              <w14:srgbClr w14:val="131317"/>
            </w14:solidFill>
          </w14:textFill>
        </w:rPr>
        <w:t xml:space="preserve">Bristol, UK </w:t>
      </w:r>
      <w:r>
        <w:rPr>
          <w:rStyle w:val="Hyperlink.0"/>
          <w:rFonts w:ascii="Verdana" w:hAnsi="Verdana" w:hint="default"/>
          <w:outline w:val="0"/>
          <w:color w:val="131317"/>
          <w:sz w:val="18"/>
          <w:szCs w:val="18"/>
          <w:shd w:val="clear" w:color="auto" w:fill="ffffff"/>
          <w:rtl w:val="0"/>
          <w14:textFill>
            <w14:solidFill>
              <w14:srgbClr w14:val="131317"/>
            </w14:solidFill>
          </w14:textFill>
        </w:rPr>
        <w:t xml:space="preserve">– </w:t>
      </w:r>
      <w:r>
        <w:rPr>
          <w:rStyle w:val="Hyperlink.0"/>
          <w:rFonts w:ascii="Verdana" w:hAnsi="Verdana"/>
          <w:outline w:val="0"/>
          <w:color w:val="131317"/>
          <w:sz w:val="18"/>
          <w:szCs w:val="18"/>
          <w:shd w:val="clear" w:color="auto" w:fill="ffffff"/>
          <w:rtl w:val="0"/>
          <w:lang w:val="en-US"/>
          <w14:textFill>
            <w14:solidFill>
              <w14:srgbClr w14:val="131317"/>
            </w14:solidFill>
          </w14:textFill>
        </w:rPr>
        <w:t>[21 July 2026]:</w:t>
      </w:r>
      <w:r>
        <w:rPr>
          <w:rFonts w:ascii="Verdana" w:hAnsi="Verdana"/>
          <w:outline w:val="0"/>
          <w:color w:val="131317"/>
          <w:sz w:val="18"/>
          <w:szCs w:val="18"/>
          <w:shd w:val="clear" w:color="auto" w:fill="ffffff"/>
          <w:rtl w:val="0"/>
          <w14:textFill>
            <w14:solidFill>
              <w14:srgbClr w14:val="131317"/>
            </w14:solidFill>
          </w14:textFill>
        </w:rPr>
        <w:t xml:space="preserve"> </w:t>
      </w:r>
      <w:r>
        <w:rPr>
          <w:rStyle w:val="Hyperlink.0"/>
          <w:rFonts w:ascii="Verdana" w:cs="Verdana" w:hAnsi="Verdana" w:eastAsia="Verdana"/>
          <w:outline w:val="0"/>
          <w:color w:val="131317"/>
          <w:sz w:val="18"/>
          <w:szCs w:val="18"/>
          <w:shd w:val="clear" w:color="auto" w:fill="ffffff"/>
          <w14:textFill>
            <w14:solidFill>
              <w14:srgbClr w14:val="131317"/>
            </w14:solidFill>
          </w14:textFill>
        </w:rPr>
        <w:fldChar w:fldCharType="begin" w:fldLock="0"/>
      </w:r>
      <w:r>
        <w:rPr>
          <w:rStyle w:val="Hyperlink.0"/>
          <w:rFonts w:ascii="Verdana" w:cs="Verdana" w:hAnsi="Verdana" w:eastAsia="Verdana"/>
          <w:outline w:val="0"/>
          <w:color w:val="131317"/>
          <w:sz w:val="18"/>
          <w:szCs w:val="18"/>
          <w:shd w:val="clear" w:color="auto" w:fill="ffffff"/>
          <w14:textFill>
            <w14:solidFill>
              <w14:srgbClr w14:val="131317"/>
            </w14:solidFill>
          </w14:textFill>
        </w:rPr>
        <w:instrText xml:space="preserve"> HYPERLINK "https://www.exmoorpharma.com/"</w:instrText>
      </w:r>
      <w:r>
        <w:rPr>
          <w:rStyle w:val="Hyperlink.0"/>
          <w:rFonts w:ascii="Verdana" w:cs="Verdana" w:hAnsi="Verdana" w:eastAsia="Verdana"/>
          <w:outline w:val="0"/>
          <w:color w:val="131317"/>
          <w:sz w:val="18"/>
          <w:szCs w:val="18"/>
          <w:shd w:val="clear" w:color="auto" w:fill="ffffff"/>
          <w14:textFill>
            <w14:solidFill>
              <w14:srgbClr w14:val="131317"/>
            </w14:solidFill>
          </w14:textFill>
        </w:rPr>
        <w:fldChar w:fldCharType="separate" w:fldLock="0"/>
      </w:r>
      <w:r>
        <w:rPr>
          <w:rStyle w:val="Hyperlink.0"/>
          <w:rFonts w:ascii="Verdana" w:hAnsi="Verdana"/>
          <w:outline w:val="0"/>
          <w:color w:val="131317"/>
          <w:sz w:val="18"/>
          <w:szCs w:val="18"/>
          <w:shd w:val="clear" w:color="auto" w:fill="ffffff"/>
          <w:rtl w:val="0"/>
          <w:lang w:val="nl-NL"/>
          <w14:textFill>
            <w14:solidFill>
              <w14:srgbClr w14:val="131317"/>
            </w14:solidFill>
          </w14:textFill>
        </w:rPr>
        <w:t>eXmoor Pharma</w:t>
      </w:r>
      <w:r>
        <w:rPr>
          <w:rFonts w:ascii="Verdana" w:hAnsi="Verdana"/>
          <w:outline w:val="0"/>
          <w:color w:val="131317"/>
          <w:sz w:val="18"/>
          <w:szCs w:val="18"/>
          <w:shd w:val="clear" w:color="auto" w:fill="ffffff"/>
          <w:rtl w:val="0"/>
          <w14:textFill>
            <w14:solidFill>
              <w14:srgbClr w14:val="131317"/>
            </w14:solidFill>
          </w14:textFill>
        </w:rPr>
        <w:t xml:space="preserve"> </w:t>
      </w:r>
      <w:r>
        <w:rPr>
          <w:rFonts w:ascii="Verdana" w:cs="Verdana" w:hAnsi="Verdana" w:eastAsia="Verdana"/>
          <w:outline w:val="0"/>
          <w:color w:val="131317"/>
          <w:sz w:val="18"/>
          <w:szCs w:val="18"/>
          <w:shd w:val="clear" w:color="auto" w:fill="ffffff"/>
          <w14:textFill>
            <w14:solidFill>
              <w14:srgbClr w14:val="131317"/>
            </w14:solidFill>
          </w14:textFill>
        </w:rPr>
        <w:fldChar w:fldCharType="end" w:fldLock="0"/>
      </w:r>
      <w:r>
        <w:rPr>
          <w:rFonts w:ascii="Verdana" w:hAnsi="Verdana"/>
          <w:outline w:val="0"/>
          <w:color w:val="131317"/>
          <w:sz w:val="18"/>
          <w:szCs w:val="18"/>
          <w:shd w:val="clear" w:color="auto" w:fill="ffffff"/>
          <w:rtl w:val="0"/>
          <w14:textFill>
            <w14:solidFill>
              <w14:srgbClr w14:val="131317"/>
            </w14:solidFill>
          </w14:textFill>
        </w:rPr>
        <w:t>(</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nl-NL"/>
          <w14:textFill>
            <w14:solidFill>
              <w14:srgbClr w14:val="131317"/>
            </w14:solidFill>
          </w14:textFill>
        </w:rPr>
        <w:t>eXmoor</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 the integrated cell and gene therapy CDMO with embedded consultancy expertise, and Evox Therapeutics (</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de-DE"/>
          <w14:textFill>
            <w14:solidFill>
              <w14:srgbClr w14:val="131317"/>
            </w14:solidFill>
          </w14:textFill>
        </w:rPr>
        <w:t>Evox</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 have completed a technology transfer programme for Evox's exosome-enabled gene editing technology and specifically its MSH3-targeted programme for the treatment of Huntington</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s disease.</w:t>
      </w:r>
      <w:r>
        <w:rPr>
          <w:rStyle w:val="None"/>
          <w:rFonts w:ascii="Verdana" w:cs="Verdana" w:hAnsi="Verdana" w:eastAsia="Verdana"/>
          <w:outline w:val="0"/>
          <w:color w:val="131317"/>
          <w:sz w:val="18"/>
          <w:szCs w:val="18"/>
          <w:shd w:val="clear" w:color="auto" w:fill="ffffff"/>
          <w:rtl w:val="0"/>
          <w14:textFill>
            <w14:solidFill>
              <w14:srgbClr w14:val="131317"/>
            </w14:solidFill>
          </w14:textFill>
        </w:rPr>
        <w:br w:type="textWrapping"/>
        <w:t> </w:t>
        <w:br w:type="textWrapping"/>
      </w:r>
      <w:r>
        <w:rPr>
          <w:rFonts w:ascii="Verdana" w:hAnsi="Verdana"/>
          <w:outline w:val="0"/>
          <w:color w:val="131317"/>
          <w:sz w:val="18"/>
          <w:szCs w:val="18"/>
          <w:shd w:val="clear" w:color="auto" w:fill="ffffff"/>
          <w:rtl w:val="0"/>
          <w:lang w:val="en-US"/>
          <w14:textFill>
            <w14:solidFill>
              <w14:srgbClr w14:val="131317"/>
            </w14:solidFill>
          </w14:textFill>
        </w:rPr>
        <w:t>Evox Therapeutics is advancing a pipeline of next-generation gene editing medicines targeting genetically driven neurodegenerative diseases, including Huntington's disease and amyotrophic lateral sclerosis. The programme involved the transfer and establishment of Evox</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s proprietary manufacturing process and associated analytical methods at eXmoor</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s Bristol facility. Completion of this phase provides the technical foundation for subsequent transfer into GMP and future clinical manufacture.</w:t>
      </w:r>
      <w:r>
        <w:rPr>
          <w:rFonts w:ascii="Verdana" w:hAnsi="Verdana" w:hint="default"/>
          <w:outline w:val="0"/>
          <w:color w:val="131317"/>
          <w:sz w:val="18"/>
          <w:szCs w:val="18"/>
          <w:shd w:val="clear" w:color="auto" w:fill="ffffff"/>
          <w:rtl w:val="0"/>
          <w14:textFill>
            <w14:solidFill>
              <w14:srgbClr w14:val="131317"/>
            </w14:solidFill>
          </w14:textFill>
        </w:rPr>
        <w:t> </w:t>
        <w:br w:type="textWrapping"/>
      </w:r>
      <w:r>
        <w:rPr>
          <w:rStyle w:val="None"/>
          <w:rFonts w:ascii="Verdana" w:cs="Verdana" w:hAnsi="Verdana" w:eastAsia="Verdana"/>
          <w:outline w:val="0"/>
          <w:color w:val="131317"/>
          <w:sz w:val="18"/>
          <w:szCs w:val="18"/>
          <w:shd w:val="clear" w:color="auto" w:fill="ffffff"/>
          <w14:textFill>
            <w14:solidFill>
              <w14:srgbClr w14:val="131317"/>
            </w14:solidFill>
          </w14:textFill>
        </w:rPr>
        <w:br w:type="textWrapping"/>
      </w:r>
      <w:r>
        <w:rPr>
          <w:rFonts w:ascii="Verdana" w:hAnsi="Verdana"/>
          <w:outline w:val="0"/>
          <w:color w:val="131317"/>
          <w:sz w:val="18"/>
          <w:szCs w:val="18"/>
          <w:shd w:val="clear" w:color="auto" w:fill="ffffff"/>
          <w:rtl w:val="0"/>
          <w:lang w:val="en-US"/>
          <w14:textFill>
            <w14:solidFill>
              <w14:srgbClr w14:val="131317"/>
            </w14:solidFill>
          </w14:textFill>
        </w:rPr>
        <w:t>Exosome-delivered gene editing therapeutics are an emerging class of biologics, and this programme reflects the growing need to translate novel platforms into scalable manufacturing processes capable of supporting clinical development.</w:t>
      </w:r>
      <w:r>
        <w:rPr>
          <w:rStyle w:val="None"/>
          <w:rFonts w:ascii="Verdana" w:cs="Verdana" w:hAnsi="Verdana" w:eastAsia="Verdana"/>
          <w:outline w:val="0"/>
          <w:color w:val="131317"/>
          <w:sz w:val="18"/>
          <w:szCs w:val="18"/>
          <w:shd w:val="clear" w:color="auto" w:fill="ffffff"/>
          <w:rtl w:val="0"/>
          <w14:textFill>
            <w14:solidFill>
              <w14:srgbClr w14:val="131317"/>
            </w14:solidFill>
          </w14:textFill>
        </w:rPr>
        <w:br w:type="textWrapping"/>
        <w:t> </w:t>
        <w:br w:type="textWrapping"/>
      </w:r>
      <w:r>
        <w:rPr>
          <w:rStyle w:val="Hyperlink.0"/>
          <w:rFonts w:ascii="Verdana" w:hAnsi="Verdana"/>
          <w:outline w:val="0"/>
          <w:color w:val="131317"/>
          <w:sz w:val="18"/>
          <w:szCs w:val="18"/>
          <w:shd w:val="clear" w:color="auto" w:fill="ffffff"/>
          <w:rtl w:val="0"/>
          <w:lang w:val="en-US"/>
          <w14:textFill>
            <w14:solidFill>
              <w14:srgbClr w14:val="131317"/>
            </w14:solidFill>
          </w14:textFill>
        </w:rPr>
        <w:t>Lucy Foley, Chief Executive Officer of eXmoor Pharma,</w:t>
      </w:r>
      <w:r>
        <w:rPr>
          <w:rFonts w:ascii="Verdana" w:hAnsi="Verdana"/>
          <w:outline w:val="0"/>
          <w:color w:val="131317"/>
          <w:sz w:val="18"/>
          <w:szCs w:val="18"/>
          <w:shd w:val="clear" w:color="auto" w:fill="ffffff"/>
          <w:rtl w:val="0"/>
          <w:lang w:val="en-US"/>
          <w14:textFill>
            <w14:solidFill>
              <w14:srgbClr w14:val="131317"/>
            </w14:solidFill>
          </w14:textFill>
        </w:rPr>
        <w:t xml:space="preserve"> said:</w:t>
      </w:r>
      <w:r>
        <w:rPr>
          <w:rStyle w:val="None"/>
          <w:rFonts w:ascii="Verdana" w:cs="Verdana" w:hAnsi="Verdana" w:eastAsia="Verdana"/>
          <w:outline w:val="0"/>
          <w:color w:val="131317"/>
          <w:sz w:val="18"/>
          <w:szCs w:val="18"/>
          <w:shd w:val="clear" w:color="auto" w:fill="ffffff"/>
          <w:rtl w:val="0"/>
          <w14:textFill>
            <w14:solidFill>
              <w14:srgbClr w14:val="131317"/>
            </w14:solidFill>
          </w14:textFill>
        </w:rPr>
        <w:br w:type="textWrapping"/>
        <w:t> </w:t>
        <w:br w:type="textWrapping"/>
      </w:r>
      <w:r>
        <w:rPr>
          <w:rFonts w:ascii="Verdana" w:hAnsi="Verdana" w:hint="default"/>
          <w:outline w:val="0"/>
          <w:color w:val="131317"/>
          <w:sz w:val="18"/>
          <w:szCs w:val="18"/>
          <w:shd w:val="clear" w:color="auto" w:fill="ffffff"/>
          <w:rtl w:val="1"/>
          <w:lang w:val="ar-SA" w:bidi="ar-SA"/>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Translating a novel platform of this kind into a robust and manufacturable process requires process development, analytical development and manufacturing expertise to be fully integrated from the outset. The successful establishment of Evox</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s process and analytical methods at our Bristol facility reflects the strength of the</w:t>
      </w:r>
      <w:r>
        <w:drawing xmlns:a="http://schemas.openxmlformats.org/drawingml/2006/main">
          <wp:anchor distT="152400" distB="152400" distL="152400" distR="152400" simplePos="0" relativeHeight="251659264" behindDoc="0" locked="0" layoutInCell="1" allowOverlap="1">
            <wp:simplePos x="0" y="0"/>
            <wp:positionH relativeFrom="page">
              <wp:posOffset>720000</wp:posOffset>
            </wp:positionH>
            <wp:positionV relativeFrom="page">
              <wp:posOffset>435520</wp:posOffset>
            </wp:positionV>
            <wp:extent cx="1800001" cy="1080000"/>
            <wp:effectExtent l="0" t="0" r="0" b="0"/>
            <wp:wrapNone/>
            <wp:docPr id="1073741825" name="officeArt object" descr="IB COMMUNICATIUONS logo LR.jpg"/>
            <wp:cNvGraphicFramePr/>
            <a:graphic xmlns:a="http://schemas.openxmlformats.org/drawingml/2006/main">
              <a:graphicData uri="http://schemas.openxmlformats.org/drawingml/2006/picture">
                <pic:pic xmlns:pic="http://schemas.openxmlformats.org/drawingml/2006/picture">
                  <pic:nvPicPr>
                    <pic:cNvPr id="1073741825" name="IB COMMUNICATIUONS logo LR.jpg" descr="IB COMMUNICATIUONS logo LR.jpg"/>
                    <pic:cNvPicPr>
                      <a:picLocks noChangeAspect="1"/>
                    </pic:cNvPicPr>
                  </pic:nvPicPr>
                  <pic:blipFill>
                    <a:blip r:embed="rId4">
                      <a:extLst/>
                    </a:blip>
                    <a:stretch>
                      <a:fillRect/>
                    </a:stretch>
                  </pic:blipFill>
                  <pic:spPr>
                    <a:xfrm>
                      <a:off x="0" y="0"/>
                      <a:ext cx="1800001" cy="1080000"/>
                    </a:xfrm>
                    <a:prstGeom prst="rect">
                      <a:avLst/>
                    </a:prstGeom>
                    <a:ln w="12700" cap="flat">
                      <a:noFill/>
                      <a:miter lim="400000"/>
                    </a:ln>
                    <a:effectLst/>
                  </pic:spPr>
                </pic:pic>
              </a:graphicData>
            </a:graphic>
          </wp:anchor>
        </w:drawing>
      </w:r>
      <w:r>
        <w:rPr>
          <w:rFonts w:ascii="Verdana" w:hAnsi="Verdana"/>
          <w:outline w:val="0"/>
          <w:color w:val="131317"/>
          <w:sz w:val="18"/>
          <w:szCs w:val="18"/>
          <w:shd w:val="clear" w:color="auto" w:fill="ffffff"/>
          <w:rtl w:val="0"/>
          <w:lang w:val="en-US"/>
          <w14:textFill>
            <w14:solidFill>
              <w14:srgbClr w14:val="131317"/>
            </w14:solidFill>
          </w14:textFill>
        </w:rPr>
        <w:t xml:space="preserve"> collaboration between our teams and provides a clear foundation for the next stage of the programme.</w:t>
      </w:r>
      <w:r>
        <w:rPr>
          <w:rFonts w:ascii="Verdana" w:hAnsi="Verdana" w:hint="default"/>
          <w:outline w:val="0"/>
          <w:color w:val="131317"/>
          <w:sz w:val="18"/>
          <w:szCs w:val="18"/>
          <w:shd w:val="clear" w:color="auto" w:fill="ffffff"/>
          <w:rtl w:val="0"/>
          <w14:textFill>
            <w14:solidFill>
              <w14:srgbClr w14:val="131317"/>
            </w14:solidFill>
          </w14:textFill>
        </w:rPr>
        <w:t>” </w:t>
        <w:br w:type="textWrapping"/>
        <w:br w:type="textWrapping"/>
      </w:r>
      <w:r>
        <w:rPr>
          <w:rStyle w:val="Hyperlink.0"/>
          <w:rFonts w:ascii="Verdana" w:hAnsi="Verdana"/>
          <w:outline w:val="0"/>
          <w:color w:val="131317"/>
          <w:sz w:val="18"/>
          <w:szCs w:val="18"/>
          <w:shd w:val="clear" w:color="auto" w:fill="ffffff"/>
          <w:rtl w:val="0"/>
          <w:lang w:val="en-US"/>
          <w14:textFill>
            <w14:solidFill>
              <w14:srgbClr w14:val="131317"/>
            </w14:solidFill>
          </w14:textFill>
        </w:rPr>
        <w:t>Per Lundin, Chief Executive Officer of Evox Therapeutics</w:t>
      </w:r>
      <w:r>
        <w:rPr>
          <w:rFonts w:ascii="Verdana" w:hAnsi="Verdana"/>
          <w:outline w:val="0"/>
          <w:color w:val="131317"/>
          <w:sz w:val="18"/>
          <w:szCs w:val="18"/>
          <w:shd w:val="clear" w:color="auto" w:fill="ffffff"/>
          <w:rtl w:val="0"/>
          <w:lang w:val="en-US"/>
          <w14:textFill>
            <w14:solidFill>
              <w14:srgbClr w14:val="131317"/>
            </w14:solidFill>
          </w14:textFill>
        </w:rPr>
        <w:t>, said:</w:t>
      </w:r>
      <w:r>
        <w:rPr>
          <w:rStyle w:val="None"/>
          <w:rFonts w:ascii="Verdana" w:cs="Verdana" w:hAnsi="Verdana" w:eastAsia="Verdana"/>
          <w:outline w:val="0"/>
          <w:color w:val="131317"/>
          <w:sz w:val="18"/>
          <w:szCs w:val="18"/>
          <w:shd w:val="clear" w:color="auto" w:fill="ffffff"/>
          <w:rtl w:val="0"/>
          <w14:textFill>
            <w14:solidFill>
              <w14:srgbClr w14:val="131317"/>
            </w14:solidFill>
          </w14:textFill>
        </w:rPr>
        <w:br w:type="textWrapping"/>
        <w:t> </w:t>
        <w:br w:type="textWrapping"/>
      </w:r>
      <w:r>
        <w:rPr>
          <w:rFonts w:ascii="Verdana" w:hAnsi="Verdana"/>
          <w:outline w:val="0"/>
          <w:color w:val="131317"/>
          <w:sz w:val="18"/>
          <w:szCs w:val="18"/>
          <w:shd w:val="clear" w:color="auto" w:fill="ffffff"/>
          <w:rtl w:val="0"/>
          <w:lang w:val="en-US"/>
          <w14:textFill>
            <w14:solidFill>
              <w14:srgbClr w14:val="131317"/>
            </w14:solidFill>
          </w14:textFill>
        </w:rPr>
        <w:t>"As we continue to advance our pipeline of next-generation gene editing medicines, establishing strong technical and manufacturing foundations is an important part of our development strategy. eXmoor Pharma</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s multidisciplinary expertise and collaborative approach made them the right partner to support this work as we progress our platform and Huntington</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s disease programme towards clinical development."</w:t>
      </w:r>
      <w:r>
        <w:rPr>
          <w:rStyle w:val="None"/>
          <w:rFonts w:ascii="Verdana" w:cs="Verdana" w:hAnsi="Verdana" w:eastAsia="Verdana"/>
          <w:outline w:val="0"/>
          <w:color w:val="131317"/>
          <w:sz w:val="18"/>
          <w:szCs w:val="18"/>
          <w:shd w:val="clear" w:color="auto" w:fill="ffffff"/>
          <w:rtl w:val="0"/>
          <w14:textFill>
            <w14:solidFill>
              <w14:srgbClr w14:val="131317"/>
            </w14:solidFill>
          </w14:textFill>
        </w:rPr>
        <w:br w:type="textWrapping"/>
        <w:t> </w:t>
        <w:br w:type="textWrapping"/>
      </w:r>
      <w:r>
        <w:rPr>
          <w:rStyle w:val="Hyperlink.0"/>
          <w:rFonts w:ascii="Verdana" w:hAnsi="Verdana"/>
          <w:outline w:val="0"/>
          <w:color w:val="131317"/>
          <w:sz w:val="18"/>
          <w:szCs w:val="18"/>
          <w:shd w:val="clear" w:color="auto" w:fill="ffffff"/>
          <w:rtl w:val="0"/>
          <w:lang w:val="en-US"/>
          <w14:textFill>
            <w14:solidFill>
              <w14:srgbClr w14:val="131317"/>
            </w14:solidFill>
          </w14:textFill>
        </w:rPr>
        <w:t>About Evox Therapeutics</w:t>
      </w:r>
      <w:r>
        <w:rPr>
          <w:rStyle w:val="None"/>
          <w:rFonts w:ascii="Verdana" w:cs="Verdana" w:hAnsi="Verdana" w:eastAsia="Verdana"/>
          <w:outline w:val="0"/>
          <w:color w:val="131317"/>
          <w:sz w:val="18"/>
          <w:szCs w:val="18"/>
          <w:shd w:val="clear" w:color="auto" w:fill="ffffff"/>
          <w:rtl w:val="0"/>
          <w14:textFill>
            <w14:solidFill>
              <w14:srgbClr w14:val="131317"/>
            </w14:solidFill>
          </w14:textFill>
        </w:rPr>
        <w:br w:type="textWrapping"/>
        <w:t> </w:t>
        <w:br w:type="textWrapping"/>
      </w:r>
      <w:r>
        <w:rPr>
          <w:rFonts w:ascii="Verdana" w:hAnsi="Verdana"/>
          <w:outline w:val="0"/>
          <w:color w:val="131317"/>
          <w:sz w:val="18"/>
          <w:szCs w:val="18"/>
          <w:shd w:val="clear" w:color="auto" w:fill="ffffff"/>
          <w:rtl w:val="0"/>
          <w:lang w:val="en-US"/>
          <w14:textFill>
            <w14:solidFill>
              <w14:srgbClr w14:val="131317"/>
            </w14:solidFill>
          </w14:textFill>
        </w:rPr>
        <w:t>By advancing a pipeline of next-generation gene editing medicines, Evox</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s mission is to revolutionise the treatment of genetically driven neurodegenerative diseases. Backed by leading investors and with an unrivalled intellectual property estate, the Company's proprietary pipeline programmes target the MSH3 gene for the treatment of Huntington's disease and other trinucleotide repeat disorders and the ATXN2 gene for the treatment of amyotrophic lateral sclerosis and other TDP43 pathologies.</w:t>
      </w:r>
      <w:r>
        <w:rPr>
          <w:rStyle w:val="None"/>
          <w:rFonts w:ascii="Verdana" w:cs="Verdana" w:hAnsi="Verdana" w:eastAsia="Verdana"/>
          <w:outline w:val="0"/>
          <w:color w:val="131317"/>
          <w:sz w:val="18"/>
          <w:szCs w:val="18"/>
          <w:shd w:val="clear" w:color="auto" w:fill="ffffff"/>
          <w:rtl w:val="0"/>
          <w14:textFill>
            <w14:solidFill>
              <w14:srgbClr w14:val="131317"/>
            </w14:solidFill>
          </w14:textFill>
        </w:rPr>
        <w:br w:type="textWrapping"/>
        <w:t> </w:t>
        <w:br w:type="textWrapping"/>
      </w:r>
      <w:r>
        <w:rPr>
          <w:rStyle w:val="Hyperlink.0"/>
          <w:rFonts w:ascii="Verdana" w:hAnsi="Verdana"/>
          <w:outline w:val="0"/>
          <w:color w:val="131317"/>
          <w:sz w:val="18"/>
          <w:szCs w:val="18"/>
          <w:shd w:val="clear" w:color="auto" w:fill="ffffff"/>
          <w:rtl w:val="0"/>
          <w:lang w:val="en-US"/>
          <w14:textFill>
            <w14:solidFill>
              <w14:srgbClr w14:val="131317"/>
            </w14:solidFill>
          </w14:textFill>
        </w:rPr>
        <w:t>About eXmoor Pharma</w:t>
      </w:r>
      <w:r>
        <w:rPr>
          <w:rStyle w:val="None"/>
          <w:rFonts w:ascii="Verdana" w:cs="Verdana" w:hAnsi="Verdana" w:eastAsia="Verdana"/>
          <w:outline w:val="0"/>
          <w:color w:val="131317"/>
          <w:sz w:val="18"/>
          <w:szCs w:val="18"/>
          <w:shd w:val="clear" w:color="auto" w:fill="ffffff"/>
          <w:rtl w:val="0"/>
          <w14:textFill>
            <w14:solidFill>
              <w14:srgbClr w14:val="131317"/>
            </w14:solidFill>
          </w14:textFill>
        </w:rPr>
        <w:br w:type="textWrapping"/>
        <w:t> </w:t>
        <w:br w:type="textWrapping"/>
      </w:r>
      <w:r>
        <w:rPr>
          <w:rFonts w:ascii="Verdana" w:hAnsi="Verdana"/>
          <w:outline w:val="0"/>
          <w:color w:val="131317"/>
          <w:sz w:val="18"/>
          <w:szCs w:val="18"/>
          <w:shd w:val="clear" w:color="auto" w:fill="ffffff"/>
          <w:rtl w:val="0"/>
          <w:lang w:val="en-US"/>
          <w14:textFill>
            <w14:solidFill>
              <w14:srgbClr w14:val="131317"/>
            </w14:solidFill>
          </w14:textFill>
        </w:rPr>
        <w:t>eXmoor Pharma is the only integrated cell and gene therapy CDMO with over 20 years of consultancy expertise embedded at every stage of development. From early-phase strategy and process development to GMP manufacturing and commercialisation, eXmoor supports clients with deep technical knowledge, regulatory insight and flexible manufacturing solutions. With a purpose-built facility in Bristol, UK, and over 190 clients globally, eXmoor partners with innovators to scale their therapies safely and efficiently.</w:t>
      </w:r>
      <w:r>
        <w:rPr>
          <w:rStyle w:val="None"/>
          <w:rFonts w:ascii="Verdana" w:cs="Verdana" w:hAnsi="Verdana" w:eastAsia="Verdana"/>
          <w:outline w:val="0"/>
          <w:color w:val="131317"/>
          <w:sz w:val="18"/>
          <w:szCs w:val="18"/>
          <w:shd w:val="clear" w:color="auto" w:fill="ffffff"/>
          <w14:textFill>
            <w14:solidFill>
              <w14:srgbClr w14:val="131317"/>
            </w14:solidFill>
          </w14:textFill>
        </w:rPr>
        <w:br w:type="textWrapping"/>
      </w:r>
      <w:r>
        <w:rPr>
          <w:rFonts w:ascii="Verdana" w:cs="Verdana" w:hAnsi="Verdana" w:eastAsia="Verdana"/>
          <w:outline w:val="0"/>
          <w:color w:val="131317"/>
          <w:sz w:val="18"/>
          <w:szCs w:val="18"/>
          <w:shd w:val="clear" w:color="auto" w:fill="ffffff"/>
          <w14:textFill>
            <w14:solidFill>
              <w14:srgbClr w14:val="131317"/>
            </w14:solidFill>
          </w14:textFill>
        </w:rPr>
      </w:r>
    </w:p>
    <w:sectPr>
      <w:headerReference w:type="default" r:id="rId5"/>
      <w:footerReference w:type="default" r:id="rId6"/>
      <w:pgSz w:w="11906" w:h="16838" w:orient="portrait"/>
      <w:pgMar w:top="1134" w:right="1134" w:bottom="850"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b w:val="1"/>
      <w:bCs w:val="1"/>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just" defTabSz="457200" rtl="0" fontAlgn="auto" latinLnBrk="0" hangingPunct="0">
          <a:lnSpc>
            <a:spcPct val="100000"/>
          </a:lnSpc>
          <a:spcBef>
            <a:spcPts val="0"/>
          </a:spcBef>
          <a:spcAft>
            <a:spcPts val="0"/>
          </a:spcAft>
          <a:buClrTx/>
          <a:buSzTx/>
          <a:buFontTx/>
          <a:buNone/>
          <a:tabLst/>
          <a:defRPr b="0" baseline="0" cap="none" i="0" spc="0" strike="noStrike" sz="900" u="none" kumimoji="0" normalizeH="0">
            <a:ln>
              <a:noFill/>
            </a:ln>
            <a:solidFill>
              <a:srgbClr val="000000"/>
            </a:solidFill>
            <a:effectLst/>
            <a:uFill>
              <a:solidFill>
                <a:srgbClr val="000000"/>
              </a:solidFill>
            </a:uFill>
            <a:latin typeface="Verdana"/>
            <a:ea typeface="Verdana"/>
            <a:cs typeface="Verdana"/>
            <a:sym typeface="Verdan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