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Fonts w:ascii="Verdana" w:hAnsi="Verdana"/>
          <w:outline w:val="0"/>
          <w:color w:val="282828"/>
          <w:sz w:val="18"/>
          <w:szCs w:val="18"/>
          <w:u w:color="0000ff"/>
          <w:shd w:val="clear" w:color="auto" w:fill="ffffff"/>
          <w:rtl w:val="0"/>
          <w14:textFill>
            <w14:solidFill>
              <w14:srgbClr w14:val="292929"/>
            </w14:solidFill>
          </w14:textFill>
        </w:rPr>
        <w:t>Tel</w:t>
      </w:r>
      <w:r>
        <w:rPr>
          <w:rFonts w:ascii="Verdana" w:hAnsi="Verdana" w:hint="default"/>
          <w:outline w:val="0"/>
          <w:color w:val="282828"/>
          <w:sz w:val="18"/>
          <w:szCs w:val="18"/>
          <w:u w:color="0000ff"/>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lang w:val="en-US"/>
          <w14:textFill>
            <w14:solidFill>
              <w14:srgbClr w14:val="292929"/>
            </w14:solidFill>
          </w14:textFill>
        </w:rPr>
        <w:t>orgenesis@ibcomms.agency</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Orgenesis to participate in Benchmark</w:t>
      </w:r>
      <w:r>
        <w:rPr>
          <w:rStyle w:val="Hyperlink.0"/>
          <w:rFonts w:ascii="Verdana" w:hAnsi="Verdana" w:hint="default"/>
          <w:b w:val="1"/>
          <w:bCs w:val="1"/>
          <w:outline w:val="0"/>
          <w:color w:val="282828"/>
          <w:sz w:val="18"/>
          <w:szCs w:val="18"/>
          <w:rtl w:val="1"/>
          <w14:textFill>
            <w14:solidFill>
              <w14:srgbClr w14:val="292929"/>
            </w14:solidFill>
          </w14:textFill>
        </w:rPr>
        <w:t>’</w:t>
      </w:r>
      <w:r>
        <w:rPr>
          <w:rStyle w:val="Hyperlink.0"/>
          <w:rFonts w:ascii="Verdana" w:hAnsi="Verdana"/>
          <w:b w:val="1"/>
          <w:bCs w:val="1"/>
          <w:outline w:val="0"/>
          <w:color w:val="282828"/>
          <w:sz w:val="18"/>
          <w:szCs w:val="18"/>
          <w:rtl w:val="0"/>
          <w:lang w:val="en-US"/>
          <w14:textFill>
            <w14:solidFill>
              <w14:srgbClr w14:val="292929"/>
            </w14:solidFill>
          </w14:textFill>
        </w:rPr>
        <w:t>s third Annual Healthcare House Call Virtual 1x1 Investor Conference on May 23,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Germantown, Maryland, US, May 19,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G39lrK0X4AHKU6itUT5c-2FjwcgJiAVjL-2FjvFRoq42sFoPmah_0v1WfzW3RyCyUmxOPcTd72nhp2tUCWdxq-2BDfwFXst-2F2aCPEFEoG1XfVfIkfPiSy0mEjkyHBzVnFoAkbS-2F5layF4COsFz2uYx2IDJ5NeTqlNSEtt-2FboF0K1B0efxa46wxoQkEFE2N9VrJ8AnIM5Yg-2FgjTVJ-2BHT3ZAk8PHBOqOniBqPJweVDTx5Ji5xaXxMDPtaNnRAeeGQfA-2FlAQe9I6W0R5daYuYMaVJVts32CP7C54vnR4ahAkvn8H4A00XTttnBli5p6FcZzfMzxejkqwGByikZdFG4gnOKgUnl5yGEKQPcDlbmXMDoYvjNbmozseON5zIL42uWhq2RuctGLr-2BbWXIG-2Fod3tKpRmaPfkuhQ-2FKrhfXEIEfKHWxyVN6Tb2R5-2F3O2bUzUHHgbxxV4fHOI1BZF-2FmI4vCVzmQS4aJnhTOd-2BPKqPuAErcG56FgzAKf6c-2BNT7AYz-2FxVwF-2BVKJwksToA-3D-3D"</w:instrTex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1"/>
          <w:rFonts w:ascii="Verdana" w:hAnsi="Verdana"/>
          <w:outline w:val="0"/>
          <w:color w:val="282828"/>
          <w:sz w:val="18"/>
          <w:szCs w:val="18"/>
          <w:shd w:val="clear" w:color="auto" w:fill="ffffff"/>
          <w:rtl w:val="0"/>
          <w14:textFill>
            <w14:solidFill>
              <w14:srgbClr w14:val="292929"/>
            </w14:solidFill>
          </w14:textFill>
        </w:rPr>
        <w:t>Orgenesis Inc.</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14:textFill>
            <w14:solidFill>
              <w14:srgbClr w14:val="292929"/>
            </w14:solidFill>
          </w14:textFill>
        </w:rPr>
        <w:t xml:space="preserve"> (NASDAQ: ORGS)</w:t>
      </w:r>
      <w:r>
        <w:rPr>
          <w:rFonts w:ascii="Verdana" w:hAnsi="Verdana"/>
          <w:outline w:val="0"/>
          <w:color w:val="282828"/>
          <w:sz w:val="18"/>
          <w:szCs w:val="18"/>
          <w:shd w:val="clear" w:color="auto" w:fill="ffffff"/>
          <w:rtl w:val="0"/>
          <w14:textFill>
            <w14:solidFill>
              <w14:srgbClr w14:val="292929"/>
            </w14:solidFill>
          </w14:textFill>
        </w:rPr>
        <w:t xml:space="preserve">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14:textFill>
            <w14:solidFill>
              <w14:srgbClr w14:val="292929"/>
            </w14:solidFill>
          </w14:textFill>
        </w:rPr>
        <w:t>Orgenesis</w:t>
      </w:r>
      <w:r>
        <w:rPr>
          <w:rFonts w:ascii="Verdana" w:hAnsi="Verdana" w:hint="default"/>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 xml:space="preserve">or the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Company</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a global biotech company working to unlock the full potential of cell and gene therapies (CGT) at the point of care, today announced that Vered Caplan, CEO of Orgenesis, will be participating in the Benchmark Company</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third Annual Healthcare House Call Virtual 1x1 Conference, which will be held on Tuesday, May 23,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conference offers its clients one-on-one and small-group</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it-IT"/>
          <w14:textFill>
            <w14:solidFill>
              <w14:srgbClr w14:val="292929"/>
            </w14:solidFill>
          </w14:textFill>
        </w:rPr>
        <w:t>virtual</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meetings with the management of over 40 small and mid-sized healthcare companies.</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To register, please contact: Michael Fiorini </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Director, Institutional Equity Sales of The Benchmark Company at</w:t>
      </w:r>
      <w:r>
        <w:rPr>
          <w:rStyle w:val="Hyperlink.0"/>
          <w:rFonts w:ascii="Verdana" w:hAnsi="Verdana" w:hint="default"/>
          <w:outline w:val="0"/>
          <w:color w:val="282828"/>
          <w:sz w:val="18"/>
          <w:szCs w:val="18"/>
          <w:rtl w:val="0"/>
          <w14:textFill>
            <w14:solidFill>
              <w14:srgbClr w14:val="292929"/>
            </w14:solidFill>
          </w14:textFill>
        </w:rPr>
        <w: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dFqUEgQsKgcJtA0IQQ9JC3wIzUQYR1LLPrv53pFqwC2oY9jcwMUvbkUA-2FDMPOqFKS9tovUsL7s6MI2d1gGiaqpBedIF-2FmWJiCteHsokEiQV6gdv84m0gUD9qNIp5YrsAQOwULPNXLXcqAF-2FcXh2p68gofQMisLmgZ-2Frmb0sbC-2FFFGY4pGiAGy1r-2FX4TTp-2BCSi-2BOpsy972OIxTFgTH-2FcDzpmaf38sfolvTaT63DUJaF0Zbv80yiWsuj3jMWHPIz46AqKrqLZHJQecj5s-2BESrmH0ujp8yKoqigVy42LABcnB6HXr3x6AuObtIjFgkB2t9geHMawEClyXNk-2FhHGfV4XYgNA5Rs9zTwXVDRrL4FgVtO0hK8ruMVq8ba-2BO2-2BMm8NVdj0PmkzwcKDYUOTbjSfTQsdlx53yQuaRHmVmWLm-2FhsnA9HZOuR78Q-2Fk2QW9Ett8k-3DmU8Z_0v1WfzW3RyCyUmxOPcTd72nhp2tUCWdxq-2BDfwFXst-2F2aCPEFEoG1XfVfIkfPiSy0mEjkyHBzVnFoAkbS-2F5layF4COsFz2uYx2IDJ5NeTqlNSEtt-2FboF0K1B0efxa46wxoQkEFE2N9VrJ8AnIM5Yg-2FgjTVJ-2BHT3ZAk8PHBOqOniBqPJweVDTx5Ji5xaXxMDPtaNnRAeeGQfA-2FlAQe9I6W0R5daYuYMaVJVts32CP7C54vnR4ahAkvn8H4A00XTttnBli5p6FcZzfMzxejkqwGB95M-2BYWvx53YxQ6DLzRM-2FN6d-2BKNUbgh5uoiBxn6GjzuJvP3xEDDV3BySm-2B-2BIMXbYJDuyvihRmQJ-2B-2BNJzR9gxMHkD5gylekWMClJXbPXPpY-2FQxwVy0lfLqAdI4X6jaT1v8CY05khWkAf4Zle9AZ8jsoxW0CWR94d4YqmQciddqaK7PfWQw2G3Lz8O7S3xoOdrI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it-IT"/>
          <w14:textFill>
            <w14:solidFill>
              <w14:srgbClr w14:val="292929"/>
            </w14:solidFill>
          </w14:textFill>
        </w:rPr>
        <w:t>mfiorini@benchmarkcompany.com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or your Benchmark Company representative.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The Benchmark Company</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Benchmark Company is an investment banking firm offering a suite of corporate finance, advisory and institutional brokerage services. We were founded in 1988 and are headquartered in New York City. Our focus is on fostering the long-term succ</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ess of our corporate clients through raising capital, providing strategic advisory services, generating insightful research and developing institutional sponsorship by leveraging the firm</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sales, trading and equity research capabilities.</w:t>
      </w:r>
      <w:r>
        <w:rPr>
          <w:rStyle w:val="Hyperlink.0"/>
          <w:rFonts w:ascii="Verdana" w:hAnsi="Verdana" w:hint="default"/>
          <w:outline w:val="0"/>
          <w:color w:val="282828"/>
          <w:sz w:val="18"/>
          <w:szCs w:val="18"/>
          <w:rtl w:val="0"/>
          <w14:textFill>
            <w14:solidFill>
              <w14:srgbClr w14:val="292929"/>
            </w14:solidFill>
          </w14:textFill>
        </w:rPr>
        <w: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CmFWwZdnFtxfDAeRaCMLDMdFqUEgQsKgcJtA0IQQ9JC85MGVT5mS4yB8gPj0R3HLY-2B6YLlnGEZW8p-2FlTxyYNFxurqtiOL2Pozk5tfb6FOlXBz-2BTsgVdXHBXyz-2BqayGtXpi5qPA9SWe-2F3d-2FdTu155IBdoxo-2FGfRDqXQoyDqsUDrZwAQnEwBZbb16zulF3JWk6UDJuF8qAaGlablM-2B9xuvL5SABZIjyLsfKJxYvGLR-2Fg7-2FeBSHosbQBbUcxf5Kik9Cq7PeOWkz8wqKec-2FL9-2BEM3Gl4wercTqVl3x22HOcEqXYBcFZytTaujzq7AYd-2B9F6vqxiXqFdkub0Ncws-2BrSTZ7OQ8sbWMhqFSFgdKyH2aRrSrl9kTTjPj-2FOmuzWbj5JbHa4yS3HprheEbUxOE5CufKPigMHsqg50Y1vgWzgJ9CVYaV0v0cyN2QiFipP0o6dfgK6Hw-2FSfqxCzl1v06BHQ45VUDEcEUH1EszbTwFKFxh-2BMBrSB_0v1WfzW3RyCyUmxOPcTd72nhp2tUCWdxq-2BDfwFXst-2F2aCPEFEoG1XfVfIkfPiSy0mEjkyHBzVnFoAkbS-2F5layF4COsFz2uYx2IDJ5NeTqlNSEtt-2FboF0K1B0efxa46wxoQkEFE2N9VrJ8AnIM5Yg-2FgjTVJ-2BHT3ZAk8PHBOqOniBqPJweVDTx5Ji5xaXxMDPtaNnRAeeGQfA-2FlAQe9I6W0R5daYuYMaVJVts32CP7C54vnR4ahAkvn8H4A00XTttnBli5p6FcZzfMzxejkqwGB-2BLu8NCV4QPJ5KHNjTgD-2BFwLlcWnx0Bje421VcxT-2BwoBWjtodz0e4Suo2g1JV6tTU8adEtT6ho8BSNl2GBFRhkt-2FJlLlo9hS2ZN0yuG2fu6XkBgoi5lypgI5RYSD-2Bp2cbNLT-2BIHRA10c97O4fg5iFj3RNiqmm2xtId7cpNpxR4eD9Im-2BxM-2Ba91bOlrVUVIlE9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https://www.benchmarkcompany.com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bSc-2FI967kMxaJJpA0TQpKG8pjwJBeQMBy0b3WEF8iubCIfJ_0v1WfzW3RyCyUmxOPcTd72nhp2tUCWdxq-2BDfwFXst-2F2aCPEFEoG1XfVfIkfPiSy0mEjkyHBzVnFoAkbS-2F5layF4COsFz2uYx2IDJ5NeTqlNSEtt-2FboF0K1B0efxa46wxoQkEFE2N9VrJ8AnIM5Yg-2FgjTVJ-2BHT3ZAk8PHBOqOniBqPJweVDTx5Ji5xaXxMDPtaNnRAeeGQfA-2FlAQe9I6W0R5daYuYMaVJVts32CP7C54vnR4ahAkvn8H4A00XTttnBli5p6FcZzfMzxejkqwGB6l6xF0-2FKfDRIxMdBdCtKTqNwOoNbxsRkwQ40jJK-2B0LjHQ4kmSOxF-2FwUjv5uUOTAaZZDmTJpBVKnkOKUcHzzxs52uq0RHudvXFIUN2VCCO6pckJcxXk84vtj4RnDIBNZKe3d20zjjLoLCVgMSndKOq6EDjeLQtARTUtoYp8KHEJ1atB3-2BJsxI4hAdGbqV2QRdg-3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i w:val="0"/>
          <w:i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i w:val="1"/>
          <w:i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Style w:val="Hyperlink.0"/>
          <w:rFonts w:ascii="Verdana" w:hAnsi="Verdana"/>
          <w:i w:val="1"/>
          <w:iCs w:val="1"/>
          <w:outline w:val="0"/>
          <w:color w:val="282828"/>
          <w:sz w:val="18"/>
          <w:szCs w:val="18"/>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